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6E" w:rsidRPr="007C416E" w:rsidRDefault="007C416E" w:rsidP="007C416E">
      <w:pPr>
        <w:spacing w:line="480" w:lineRule="auto"/>
        <w:jc w:val="center"/>
        <w:rPr>
          <w:rFonts w:ascii="Arial" w:hAnsi="Arial" w:cs="Arial"/>
          <w:b/>
          <w:snapToGrid w:val="0"/>
          <w:u w:val="single"/>
          <w:lang w:val="en-GB"/>
        </w:rPr>
      </w:pPr>
      <w:r w:rsidRPr="007C416E">
        <w:rPr>
          <w:rFonts w:ascii="Arial" w:hAnsi="Arial" w:cs="Arial"/>
          <w:b/>
          <w:snapToGrid w:val="0"/>
          <w:u w:val="single"/>
          <w:lang w:val="en-GB"/>
        </w:rPr>
        <w:t>PROTOCOL SYNOPSYS</w:t>
      </w:r>
    </w:p>
    <w:p w:rsidR="007C416E" w:rsidRDefault="007C416E" w:rsidP="007C416E">
      <w:pPr>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Brief Title</w:t>
      </w:r>
      <w:r w:rsidRPr="007C416E">
        <w:rPr>
          <w:rFonts w:ascii="Arial" w:eastAsia="ArialUnicodeMS" w:hAnsi="Arial" w:cs="Arial"/>
          <w:color w:val="000000"/>
          <w:lang w:val="en-US" w:eastAsia="en-US"/>
        </w:rPr>
        <w:t>: Efficacy of Cyclophosphamide Versus Methylprednisolone in Patients With Secondary</w:t>
      </w:r>
      <w:r>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Progressive Multiple Sclerosis </w:t>
      </w:r>
      <w:proofErr w:type="gramStart"/>
      <w:r w:rsidRPr="007C416E">
        <w:rPr>
          <w:rFonts w:ascii="Arial" w:eastAsia="ArialUnicodeMS" w:hAnsi="Arial" w:cs="Arial"/>
          <w:color w:val="000000"/>
          <w:lang w:val="en-US" w:eastAsia="en-US"/>
        </w:rPr>
        <w:t>( PROMESS</w:t>
      </w:r>
      <w:proofErr w:type="gramEnd"/>
      <w:r w:rsidRPr="007C416E">
        <w:rPr>
          <w:rFonts w:ascii="Arial" w:eastAsia="ArialUnicodeMS" w:hAnsi="Arial" w:cs="Arial"/>
          <w:color w:val="000000"/>
          <w:lang w:val="en-US" w:eastAsia="en-US"/>
        </w:rPr>
        <w:t xml:space="preserve"> )</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Official Title</w:t>
      </w:r>
      <w:r w:rsidRPr="007C416E">
        <w:rPr>
          <w:rFonts w:ascii="Arial" w:eastAsia="ArialUnicodeMS" w:hAnsi="Arial" w:cs="Arial"/>
          <w:color w:val="000000"/>
          <w:lang w:val="en-US" w:eastAsia="en-US"/>
        </w:rPr>
        <w:t>: A Double-blind, Two-arm, Multicenter, Randomized Trial to Evaluate Efficacy of</w:t>
      </w:r>
      <w:r>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Cyclophosphamide Versus Methylprednisolone in Patients </w:t>
      </w:r>
      <w:proofErr w:type="gramStart"/>
      <w:r w:rsidRPr="007C416E">
        <w:rPr>
          <w:rFonts w:ascii="Arial" w:eastAsia="ArialUnicodeMS" w:hAnsi="Arial" w:cs="Arial"/>
          <w:color w:val="000000"/>
          <w:lang w:val="en-US" w:eastAsia="en-US"/>
        </w:rPr>
        <w:t>With</w:t>
      </w:r>
      <w:proofErr w:type="gramEnd"/>
      <w:r w:rsidRPr="007C416E">
        <w:rPr>
          <w:rFonts w:ascii="Arial" w:eastAsia="ArialUnicodeMS" w:hAnsi="Arial" w:cs="Arial"/>
          <w:color w:val="000000"/>
          <w:lang w:val="en-US" w:eastAsia="en-US"/>
        </w:rPr>
        <w:t xml:space="preserve"> Recent Secondary</w:t>
      </w:r>
      <w:r>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Progressive Multiple Sclerosis: P.R.OM.E.S.S Study</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r w:rsidRPr="007C416E">
        <w:rPr>
          <w:rFonts w:ascii="Arial" w:eastAsia="ArialUnicodeMS" w:hAnsi="Arial" w:cs="Arial"/>
          <w:b/>
          <w:color w:val="000000"/>
          <w:lang w:val="en-US" w:eastAsia="en-US"/>
        </w:rPr>
        <w:t>Sponsor/Collaborators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Sponsor</w:t>
      </w:r>
      <w:r w:rsidRPr="007C416E">
        <w:rPr>
          <w:rFonts w:ascii="Arial" w:eastAsia="ArialUnicodeMS" w:hAnsi="Arial" w:cs="Arial"/>
          <w:color w:val="000000"/>
          <w:lang w:val="en-US" w:eastAsia="en-US"/>
        </w:rPr>
        <w:t>: University Hospital, Bordeaux</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Responsible Party: Sponsor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Collaborators</w:t>
      </w:r>
      <w:r w:rsidRPr="007C416E">
        <w:rPr>
          <w:rFonts w:ascii="Arial" w:eastAsia="ArialUnicodeMS" w:hAnsi="Arial" w:cs="Arial"/>
          <w:color w:val="000000"/>
          <w:lang w:val="en-US" w:eastAsia="en-US"/>
        </w:rPr>
        <w:t>: Ministry of Health, France</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Oversight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FDA Regulated</w:t>
      </w:r>
      <w:proofErr w:type="gramStart"/>
      <w:r w:rsidRPr="007C416E">
        <w:rPr>
          <w:rFonts w:ascii="Arial" w:eastAsia="ArialUnicodeMS" w:hAnsi="Arial" w:cs="Arial"/>
          <w:color w:val="000000"/>
          <w:lang w:val="en-US" w:eastAsia="en-US"/>
        </w:rPr>
        <w:t>?:</w:t>
      </w:r>
      <w:proofErr w:type="gramEnd"/>
      <w:r w:rsidRPr="007C416E">
        <w:rPr>
          <w:rFonts w:ascii="Arial" w:eastAsia="ArialUnicodeMS" w:hAnsi="Arial" w:cs="Arial"/>
          <w:color w:val="000000"/>
          <w:lang w:val="en-US" w:eastAsia="en-US"/>
        </w:rPr>
        <w:t xml:space="preserve"> No</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IND/IDE Protocol</w:t>
      </w:r>
      <w:proofErr w:type="gramStart"/>
      <w:r w:rsidRPr="007C416E">
        <w:rPr>
          <w:rFonts w:ascii="Arial" w:eastAsia="ArialUnicodeMS" w:hAnsi="Arial" w:cs="Arial"/>
          <w:color w:val="000000"/>
          <w:lang w:val="en-US" w:eastAsia="en-US"/>
        </w:rPr>
        <w:t>?:</w:t>
      </w:r>
      <w:proofErr w:type="gramEnd"/>
      <w:r w:rsidRPr="007C416E">
        <w:rPr>
          <w:rFonts w:ascii="Arial" w:eastAsia="ArialUnicodeMS" w:hAnsi="Arial" w:cs="Arial"/>
          <w:color w:val="000000"/>
          <w:lang w:val="en-US" w:eastAsia="en-US"/>
        </w:rPr>
        <w:t xml:space="preserve"> No</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Review Board: Approval Status: Approved</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Approval Number: 2005/09</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Board Name: CPP Bordeaux A</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Board Affiliation: French Ministry of Health (DGS)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Email: ccpprb.bxA@wanadoo.fr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Data Monitoring</w:t>
      </w:r>
      <w:proofErr w:type="gramStart"/>
      <w:r w:rsidRPr="007C416E">
        <w:rPr>
          <w:rFonts w:ascii="Arial" w:eastAsia="ArialUnicodeMS" w:hAnsi="Arial" w:cs="Arial"/>
          <w:color w:val="000000"/>
          <w:lang w:val="en-US" w:eastAsia="en-US"/>
        </w:rPr>
        <w:t>?:</w:t>
      </w:r>
      <w:proofErr w:type="gramEnd"/>
      <w:r w:rsidRPr="007C416E">
        <w:rPr>
          <w:rFonts w:ascii="Arial" w:eastAsia="ArialUnicodeMS" w:hAnsi="Arial" w:cs="Arial"/>
          <w:color w:val="000000"/>
          <w:lang w:val="en-US" w:eastAsia="en-US"/>
        </w:rPr>
        <w:t xml:space="preserve"> Yes</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Plan to </w:t>
      </w:r>
      <w:proofErr w:type="spellStart"/>
      <w:r w:rsidRPr="007C416E">
        <w:rPr>
          <w:rFonts w:ascii="Arial" w:eastAsia="ArialUnicodeMS" w:hAnsi="Arial" w:cs="Arial"/>
          <w:color w:val="000000"/>
          <w:lang w:eastAsia="en-US"/>
        </w:rPr>
        <w:t>Share</w:t>
      </w:r>
      <w:proofErr w:type="spellEnd"/>
      <w:r w:rsidRPr="007C416E">
        <w:rPr>
          <w:rFonts w:ascii="Arial" w:eastAsia="ArialUnicodeMS" w:hAnsi="Arial" w:cs="Arial"/>
          <w:color w:val="000000"/>
          <w:lang w:eastAsia="en-US"/>
        </w:rPr>
        <w:t xml:space="preserve"> Data</w:t>
      </w:r>
      <w:proofErr w:type="gramStart"/>
      <w:r w:rsidRPr="007C416E">
        <w:rPr>
          <w:rFonts w:ascii="Arial" w:eastAsia="ArialUnicodeMS" w:hAnsi="Arial" w:cs="Arial"/>
          <w:color w:val="000000"/>
          <w:lang w:eastAsia="en-US"/>
        </w:rPr>
        <w:t>?:</w:t>
      </w:r>
      <w:proofErr w:type="gram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proofErr w:type="spellStart"/>
      <w:r w:rsidRPr="007C416E">
        <w:rPr>
          <w:rFonts w:ascii="Arial" w:eastAsia="ArialUnicodeMS" w:hAnsi="Arial" w:cs="Arial"/>
          <w:color w:val="000000"/>
          <w:lang w:eastAsia="en-US"/>
        </w:rPr>
        <w:t>Oversight</w:t>
      </w:r>
      <w:proofErr w:type="spellEnd"/>
      <w:r w:rsidRPr="007C416E">
        <w:rPr>
          <w:rFonts w:ascii="Arial" w:eastAsia="ArialUnicodeMS" w:hAnsi="Arial" w:cs="Arial"/>
          <w:color w:val="000000"/>
          <w:lang w:eastAsia="en-US"/>
        </w:rPr>
        <w:t xml:space="preserve"> </w:t>
      </w:r>
      <w:proofErr w:type="spellStart"/>
      <w:r w:rsidRPr="007C416E">
        <w:rPr>
          <w:rFonts w:ascii="Arial" w:eastAsia="ArialUnicodeMS" w:hAnsi="Arial" w:cs="Arial"/>
          <w:color w:val="000000"/>
          <w:lang w:eastAsia="en-US"/>
        </w:rPr>
        <w:t>Authorities</w:t>
      </w:r>
      <w:proofErr w:type="spellEnd"/>
      <w:r w:rsidRPr="007C416E">
        <w:rPr>
          <w:rFonts w:ascii="Arial" w:eastAsia="ArialUnicodeMS" w:hAnsi="Arial" w:cs="Arial"/>
          <w:color w:val="000000"/>
          <w:lang w:eastAsia="en-US"/>
        </w:rPr>
        <w:t>: France: Afssaps - Agence française de sécurité sanitaire des produits de santé (Saint-Denis)</w:t>
      </w:r>
    </w:p>
    <w:p w:rsidR="007C416E" w:rsidRPr="007C416E" w:rsidRDefault="007C416E" w:rsidP="007C416E">
      <w:pPr>
        <w:autoSpaceDE w:val="0"/>
        <w:autoSpaceDN w:val="0"/>
        <w:adjustRightInd w:val="0"/>
        <w:spacing w:line="480" w:lineRule="auto"/>
        <w:rPr>
          <w:rFonts w:ascii="Arial" w:eastAsiaTheme="minorHAnsi" w:hAnsi="Arial" w:cs="Arial"/>
          <w:color w:val="000000"/>
          <w:lang w:val="en-US" w:eastAsia="en-US"/>
        </w:rPr>
      </w:pPr>
      <w:r w:rsidRPr="007C416E">
        <w:rPr>
          <w:rFonts w:ascii="Arial" w:eastAsiaTheme="minorHAnsi" w:hAnsi="Arial" w:cs="Arial"/>
          <w:color w:val="000000"/>
          <w:lang w:val="en-US" w:eastAsia="en-US"/>
        </w:rPr>
        <w:t>-</w:t>
      </w:r>
    </w:p>
    <w:p w:rsidR="007C416E" w:rsidRPr="007C416E" w:rsidRDefault="007C416E" w:rsidP="007C416E">
      <w:pPr>
        <w:autoSpaceDE w:val="0"/>
        <w:autoSpaceDN w:val="0"/>
        <w:adjustRightInd w:val="0"/>
        <w:spacing w:line="480" w:lineRule="auto"/>
        <w:rPr>
          <w:rFonts w:ascii="Arial" w:eastAsia="ArialUnicodeMS" w:hAnsi="Arial" w:cs="Arial"/>
          <w:b/>
          <w:color w:val="000000"/>
          <w:u w:val="single"/>
          <w:lang w:val="en-US" w:eastAsia="en-US"/>
        </w:rPr>
      </w:pPr>
      <w:r w:rsidRPr="007C416E">
        <w:rPr>
          <w:rFonts w:ascii="Arial" w:eastAsia="ArialUnicodeMS" w:hAnsi="Arial" w:cs="Arial"/>
          <w:b/>
          <w:color w:val="000000"/>
          <w:u w:val="single"/>
          <w:lang w:val="en-US" w:eastAsia="en-US"/>
        </w:rPr>
        <w:lastRenderedPageBreak/>
        <w:t>Study Description</w:t>
      </w: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b/>
          <w:color w:val="000000"/>
          <w:lang w:val="en-US" w:eastAsia="en-US"/>
        </w:rPr>
        <w:t>Brief Summary</w:t>
      </w:r>
      <w:r w:rsidRPr="007C416E">
        <w:rPr>
          <w:rFonts w:ascii="Arial" w:eastAsia="ArialUnicodeMS" w:hAnsi="Arial" w:cs="Arial"/>
          <w:color w:val="000000"/>
          <w:lang w:val="en-US" w:eastAsia="en-US"/>
        </w:rPr>
        <w:t>: Preliminary not-controlled clinical studies of the efficacy of monthly intravenous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cyclophosphamide administration in secondary progressive multiple sclerosis reported</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encouraging results, but no randomized controlled trial has been conducted so far.</w:t>
      </w:r>
      <w:r w:rsidRPr="007C416E">
        <w:rPr>
          <w:rFonts w:ascii="Arial" w:eastAsia="ArialUnicodeMS" w:hAnsi="Arial" w:cs="Arial"/>
          <w:color w:val="000000"/>
          <w:lang w:val="en-US" w:eastAsia="en-US"/>
        </w:rPr>
        <w:t xml:space="preserve"> </w:t>
      </w:r>
    </w:p>
    <w:p w:rsid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The primary objective of this trial is to evaluate the efficacy of IV cyclophosphamide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as compared to IV methylprednisolone administered every 4 weeks during 1 year</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and every 8 weeks during 1 year, on the delay to confirmed disability deterioration as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assessed by the Expanded Disability Status Scale (EDSS) in patients with secondary</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progressive multiple sclerosis. The secondary objectives are to evaluate safety,</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tolerability and efficacy at 2 years on the Multiple Sclerosis Functional Composite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(MSFC), the percentage of patients with disability deterioration (EDSS) and the number</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of relapses. </w:t>
      </w:r>
      <w:r w:rsidRPr="007C416E">
        <w:rPr>
          <w:rFonts w:ascii="Arial" w:eastAsia="ArialUnicodeMS" w:hAnsi="Arial" w:cs="Arial"/>
          <w:color w:val="000000"/>
          <w:lang w:val="en-US" w:eastAsia="en-US"/>
        </w:rPr>
        <w:t>A</w:t>
      </w:r>
      <w:r w:rsidRPr="007C416E">
        <w:rPr>
          <w:rFonts w:ascii="Arial" w:eastAsia="ArialUnicodeMS" w:hAnsi="Arial" w:cs="Arial"/>
          <w:color w:val="000000"/>
          <w:lang w:val="en-US" w:eastAsia="en-US"/>
        </w:rPr>
        <w:t>n intention-to-treat statistical analysis will be carried out.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b/>
          <w:color w:val="000000"/>
          <w:lang w:val="en-US" w:eastAsia="en-US"/>
        </w:rPr>
        <w:t>Detailed Description</w:t>
      </w:r>
      <w:r w:rsidRPr="007C416E">
        <w:rPr>
          <w:rFonts w:ascii="Arial" w:eastAsia="ArialUnicodeMS" w:hAnsi="Arial" w:cs="Arial"/>
          <w:color w:val="000000"/>
          <w:lang w:val="en-US" w:eastAsia="en-US"/>
        </w:rPr>
        <w:t xml:space="preserve">: </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Background</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Preliminary not-controlled clinical studies of the efficacy of monthly intravenous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cyclophosphamide administration in secondary progressive multiple sclerosis reported</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encouraging results, but no randomized controlled trial has been conducted so far. A</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slight efficacy of Methylprednisolone has been reported in this indication.</w:t>
      </w:r>
      <w:r w:rsidRPr="007C416E">
        <w:rPr>
          <w:rFonts w:ascii="Arial" w:eastAsia="ArialUnicodeMS" w:hAnsi="Arial" w:cs="Arial"/>
          <w:color w:val="000000"/>
          <w:lang w:val="en-US" w:eastAsia="en-US"/>
        </w:rPr>
        <w:t xml:space="preserve"> </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Objectives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The primary objective is to evaluate the efficacy of IV cyclophosphamide on the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prevention of disability deterioration in patients with secondary progressive multiple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sclerosis.</w:t>
      </w:r>
      <w:r w:rsidRPr="007C416E">
        <w:rPr>
          <w:rFonts w:ascii="Arial" w:eastAsia="ArialUnicodeMS" w:hAnsi="Arial" w:cs="Arial"/>
          <w:color w:val="000000"/>
          <w:lang w:val="en-US" w:eastAsia="en-US"/>
        </w:rPr>
        <w:t xml:space="preserve"> </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lastRenderedPageBreak/>
        <w:t>The secondary objectives are to evaluate safety, tolerability and efficacy of IV</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cyclophosphamide on the Multiple Sclerosis Functional Composite (MSFC) and the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number of relapses.</w:t>
      </w:r>
    </w:p>
    <w:p w:rsid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Study design</w:t>
      </w:r>
      <w:r w:rsidRPr="007C416E">
        <w:rPr>
          <w:rFonts w:ascii="Arial" w:eastAsia="ArialUnicodeMS" w:hAnsi="Arial" w:cs="Arial"/>
          <w:color w:val="000000"/>
          <w:lang w:val="en-US" w:eastAsia="en-US"/>
        </w:rPr>
        <w: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Randomized double-blind two-arm controlled trial.</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Intervention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Experimental </w:t>
      </w:r>
      <w:proofErr w:type="gramStart"/>
      <w:r w:rsidRPr="007C416E">
        <w:rPr>
          <w:rFonts w:ascii="Arial" w:eastAsia="ArialUnicodeMS" w:hAnsi="Arial" w:cs="Arial"/>
          <w:color w:val="000000"/>
          <w:lang w:val="en-US" w:eastAsia="en-US"/>
        </w:rPr>
        <w:t>group :</w:t>
      </w:r>
      <w:proofErr w:type="gramEnd"/>
      <w:r w:rsidRPr="007C416E">
        <w:rPr>
          <w:rFonts w:ascii="Arial" w:eastAsia="ArialUnicodeMS" w:hAnsi="Arial" w:cs="Arial"/>
          <w:color w:val="000000"/>
          <w:lang w:val="en-US" w:eastAsia="en-US"/>
        </w:rPr>
        <w:t xml:space="preserve"> IV cyclophosphamide infusion administered every 4 weeks during</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1 year and every 8 weeks during 1 year.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Control </w:t>
      </w:r>
      <w:proofErr w:type="gramStart"/>
      <w:r w:rsidRPr="007C416E">
        <w:rPr>
          <w:rFonts w:ascii="Arial" w:eastAsia="ArialUnicodeMS" w:hAnsi="Arial" w:cs="Arial"/>
          <w:color w:val="000000"/>
          <w:lang w:val="en-US" w:eastAsia="en-US"/>
        </w:rPr>
        <w:t>group :</w:t>
      </w:r>
      <w:proofErr w:type="gramEnd"/>
      <w:r w:rsidRPr="007C416E">
        <w:rPr>
          <w:rFonts w:ascii="Arial" w:eastAsia="ArialUnicodeMS" w:hAnsi="Arial" w:cs="Arial"/>
          <w:color w:val="000000"/>
          <w:lang w:val="en-US" w:eastAsia="en-US"/>
        </w:rPr>
        <w:t xml:space="preserve"> IV methylprednisolone infusion administered every 4 weeks during 1</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year and every 8 weeks during 1 year.</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Outcome</w:t>
      </w:r>
      <w:r w:rsidRPr="007C416E">
        <w:rPr>
          <w:rFonts w:ascii="Arial" w:eastAsia="ArialUnicodeMS" w:hAnsi="Arial" w:cs="Arial"/>
          <w:color w:val="000000"/>
          <w:lang w:val="en-US" w:eastAsia="en-US"/>
        </w:rPr>
        <w:t>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Primary outcome : delay to disability deterioration as assessed by the Expanded</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Disability Status Scale (EDSS: 0.5 or 1 point increase, depending on baseline score)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evaluated every 4 weeks for one year, then every 8 weeks for one year.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Secondary </w:t>
      </w:r>
      <w:proofErr w:type="gramStart"/>
      <w:r w:rsidRPr="007C416E">
        <w:rPr>
          <w:rFonts w:ascii="Arial" w:eastAsia="ArialUnicodeMS" w:hAnsi="Arial" w:cs="Arial"/>
          <w:color w:val="000000"/>
          <w:lang w:val="en-US" w:eastAsia="en-US"/>
        </w:rPr>
        <w:t>outcomes :</w:t>
      </w:r>
      <w:proofErr w:type="gramEnd"/>
      <w:r w:rsidRPr="007C416E">
        <w:rPr>
          <w:rFonts w:ascii="Arial" w:eastAsia="ArialUnicodeMS" w:hAnsi="Arial" w:cs="Arial"/>
          <w:color w:val="000000"/>
          <w:lang w:val="en-US" w:eastAsia="en-US"/>
        </w:rPr>
        <w:t xml:space="preserve">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proportion of patients with disability deterioration (EDSS: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0.5 or 1 point increase, depending on baseline score),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Multiple Sclerosis Functional</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Composite (MSFC) and the Z scores of MSFC three components,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number of MS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relapses,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proportion of patients with adverse events and delay of occurrence of adverse</w:t>
      </w:r>
      <w:r w:rsidRPr="007C416E">
        <w:rPr>
          <w:rFonts w:ascii="Arial" w:eastAsia="ArialUnicodeMS" w:hAnsi="Arial" w:cs="Arial"/>
          <w:color w:val="000000"/>
          <w:lang w:val="en-US" w:eastAsia="en-US"/>
        </w:rPr>
        <w:t xml:space="preserve"> events,</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lastRenderedPageBreak/>
        <w:t>Quality of life questionnaires</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Disability self-assessment questionnaires Main time of </w:t>
      </w:r>
      <w:proofErr w:type="gramStart"/>
      <w:r w:rsidRPr="007C416E">
        <w:rPr>
          <w:rFonts w:ascii="Arial" w:eastAsia="ArialUnicodeMS" w:hAnsi="Arial" w:cs="Arial"/>
          <w:color w:val="000000"/>
          <w:lang w:val="en-US" w:eastAsia="en-US"/>
        </w:rPr>
        <w:t>assessment :</w:t>
      </w:r>
      <w:proofErr w:type="gramEnd"/>
      <w:r w:rsidRPr="007C416E">
        <w:rPr>
          <w:rFonts w:ascii="Arial" w:eastAsia="ArialUnicodeMS" w:hAnsi="Arial" w:cs="Arial"/>
          <w:color w:val="000000"/>
          <w:lang w:val="en-US" w:eastAsia="en-US"/>
        </w:rPr>
        <w:t xml:space="preserve"> 2 years.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Sample size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360 patients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Statistical analysis</w:t>
      </w:r>
    </w:p>
    <w:p w:rsidR="007C416E" w:rsidRDefault="007C416E" w:rsidP="007C416E">
      <w:pPr>
        <w:autoSpaceDE w:val="0"/>
        <w:autoSpaceDN w:val="0"/>
        <w:adjustRightInd w:val="0"/>
        <w:spacing w:line="480" w:lineRule="auto"/>
        <w:rPr>
          <w:rFonts w:ascii="Arial" w:eastAsiaTheme="minorHAnsi" w:hAnsi="Arial" w:cs="Arial"/>
          <w:color w:val="000000"/>
          <w:lang w:val="en-US" w:eastAsia="en-US"/>
        </w:rPr>
      </w:pPr>
      <w:proofErr w:type="gramStart"/>
      <w:r w:rsidRPr="007C416E">
        <w:rPr>
          <w:rFonts w:ascii="Arial" w:eastAsia="ArialUnicodeMS" w:hAnsi="Arial" w:cs="Arial"/>
          <w:color w:val="000000"/>
          <w:lang w:val="en-US" w:eastAsia="en-US"/>
        </w:rPr>
        <w:t>Intention-to-treat analysis.</w:t>
      </w:r>
      <w:proofErr w:type="gramEnd"/>
    </w:p>
    <w:p w:rsidR="00583C08" w:rsidRPr="00583C08" w:rsidRDefault="00583C08" w:rsidP="00583C08">
      <w:pPr>
        <w:pStyle w:val="Retraitcorpsdetexte2"/>
        <w:spacing w:line="480" w:lineRule="auto"/>
        <w:jc w:val="left"/>
        <w:rPr>
          <w:rFonts w:ascii="Arial" w:eastAsia="MS Mincho" w:hAnsi="Arial" w:cs="Arial"/>
          <w:snapToGrid w:val="0"/>
          <w:szCs w:val="24"/>
          <w:lang w:val="en-US" w:eastAsia="ja-JP"/>
        </w:rPr>
      </w:pPr>
      <w:r w:rsidRPr="00583C08">
        <w:rPr>
          <w:rFonts w:ascii="Arial" w:eastAsia="MS Mincho" w:hAnsi="Arial" w:cs="Arial"/>
          <w:b/>
          <w:snapToGrid w:val="0"/>
          <w:szCs w:val="24"/>
          <w:u w:val="single"/>
          <w:lang w:val="en-US" w:eastAsia="ja-JP"/>
        </w:rPr>
        <w:t xml:space="preserve">Statistical </w:t>
      </w:r>
      <w:proofErr w:type="gramStart"/>
      <w:r w:rsidRPr="00583C08">
        <w:rPr>
          <w:rFonts w:ascii="Arial" w:eastAsia="MS Mincho" w:hAnsi="Arial" w:cs="Arial"/>
          <w:b/>
          <w:snapToGrid w:val="0"/>
          <w:szCs w:val="24"/>
          <w:u w:val="single"/>
          <w:lang w:val="en-US" w:eastAsia="ja-JP"/>
        </w:rPr>
        <w:t>methods</w:t>
      </w:r>
      <w:r w:rsidRPr="00583C08">
        <w:rPr>
          <w:rFonts w:ascii="Arial" w:eastAsia="MS Mincho" w:hAnsi="Arial" w:cs="Arial"/>
          <w:snapToGrid w:val="0"/>
          <w:szCs w:val="24"/>
          <w:lang w:val="en-US" w:eastAsia="ja-JP"/>
        </w:rPr>
        <w:t> :</w:t>
      </w:r>
      <w:proofErr w:type="gramEnd"/>
    </w:p>
    <w:p w:rsidR="00583C08" w:rsidRPr="00583C08" w:rsidRDefault="00583C08" w:rsidP="00583C08">
      <w:pPr>
        <w:pStyle w:val="Retraitcorpsdetexte2"/>
        <w:spacing w:line="480" w:lineRule="auto"/>
        <w:jc w:val="left"/>
        <w:rPr>
          <w:rFonts w:ascii="Arial" w:eastAsia="MS Mincho" w:hAnsi="Arial" w:cs="Arial"/>
          <w:snapToGrid w:val="0"/>
          <w:szCs w:val="24"/>
          <w:lang w:val="en-US" w:eastAsia="ja-JP"/>
        </w:rPr>
      </w:pPr>
      <w:r w:rsidRPr="00583C08">
        <w:rPr>
          <w:rFonts w:ascii="Arial" w:eastAsia="MS Mincho" w:hAnsi="Arial" w:cs="Arial"/>
          <w:snapToGrid w:val="0"/>
          <w:szCs w:val="24"/>
          <w:u w:val="single"/>
          <w:lang w:val="en-US" w:eastAsia="ja-JP"/>
        </w:rPr>
        <w:t>Introduction</w:t>
      </w:r>
      <w:r w:rsidRPr="00583C08">
        <w:rPr>
          <w:rFonts w:ascii="Arial" w:eastAsia="MS Mincho" w:hAnsi="Arial" w:cs="Arial"/>
          <w:snapToGrid w:val="0"/>
          <w:szCs w:val="24"/>
          <w:lang w:val="en-US" w:eastAsia="ja-JP"/>
        </w:rPr>
        <w:br/>
        <w:t xml:space="preserve">Data will be analyzed by intention to </w:t>
      </w:r>
      <w:proofErr w:type="gramStart"/>
      <w:r w:rsidRPr="00583C08">
        <w:rPr>
          <w:rFonts w:ascii="Arial" w:eastAsia="MS Mincho" w:hAnsi="Arial" w:cs="Arial"/>
          <w:snapToGrid w:val="0"/>
          <w:szCs w:val="24"/>
          <w:lang w:val="en-US" w:eastAsia="ja-JP"/>
        </w:rPr>
        <w:t>treat, that</w:t>
      </w:r>
      <w:proofErr w:type="gramEnd"/>
      <w:r w:rsidRPr="00583C08">
        <w:rPr>
          <w:rFonts w:ascii="Arial" w:eastAsia="MS Mincho" w:hAnsi="Arial" w:cs="Arial"/>
          <w:snapToGrid w:val="0"/>
          <w:szCs w:val="24"/>
          <w:lang w:val="en-US" w:eastAsia="ja-JP"/>
        </w:rPr>
        <w:t xml:space="preserve"> is to say that all patients who have been randomized will be analyzed in their group of randomization, even if they have never taken the treatment, if they have arrested him, or if they changed treatment. Interim analysis is not planned. For statistical tests, the risk of the first order is fixed at 5%. Statistical analyses will be performed with SAS software.</w:t>
      </w:r>
    </w:p>
    <w:p w:rsidR="00583C08" w:rsidRPr="00583C08" w:rsidRDefault="00583C08" w:rsidP="00583C08">
      <w:pPr>
        <w:pStyle w:val="Retraitcorpsdetexte2"/>
        <w:spacing w:line="480" w:lineRule="auto"/>
        <w:jc w:val="left"/>
        <w:rPr>
          <w:rFonts w:ascii="Arial" w:eastAsia="MS Mincho" w:hAnsi="Arial" w:cs="Arial"/>
          <w:snapToGrid w:val="0"/>
          <w:szCs w:val="24"/>
          <w:lang w:val="en-US" w:eastAsia="ja-JP"/>
        </w:rPr>
      </w:pPr>
      <w:proofErr w:type="gramStart"/>
      <w:r w:rsidRPr="00583C08">
        <w:rPr>
          <w:rFonts w:ascii="Arial" w:eastAsia="MS Mincho" w:hAnsi="Arial" w:cs="Arial"/>
          <w:snapToGrid w:val="0"/>
          <w:szCs w:val="24"/>
          <w:u w:val="single"/>
          <w:lang w:val="en-US" w:eastAsia="ja-JP"/>
        </w:rPr>
        <w:t>Description of enrollment and follow-up</w:t>
      </w:r>
      <w:r w:rsidRPr="00583C08">
        <w:rPr>
          <w:rFonts w:ascii="Arial" w:eastAsia="MS Mincho" w:hAnsi="Arial" w:cs="Arial"/>
          <w:snapToGrid w:val="0"/>
          <w:szCs w:val="24"/>
          <w:lang w:val="en-US" w:eastAsia="ja-JP"/>
        </w:rPr>
        <w:t>.</w:t>
      </w:r>
      <w:proofErr w:type="gramEnd"/>
      <w:r w:rsidRPr="00583C08">
        <w:rPr>
          <w:rFonts w:ascii="Arial" w:eastAsia="MS Mincho" w:hAnsi="Arial" w:cs="Arial"/>
          <w:snapToGrid w:val="0"/>
          <w:szCs w:val="24"/>
          <w:lang w:val="en-US" w:eastAsia="ja-JP"/>
        </w:rPr>
        <w:t> </w:t>
      </w:r>
      <w:proofErr w:type="gramStart"/>
      <w:r w:rsidRPr="00583C08">
        <w:rPr>
          <w:rFonts w:ascii="Arial" w:eastAsia="MS Mincho" w:hAnsi="Arial" w:cs="Arial"/>
          <w:snapToGrid w:val="0"/>
          <w:szCs w:val="24"/>
          <w:lang w:val="en-US" w:eastAsia="ja-JP"/>
        </w:rPr>
        <w:t>:</w:t>
      </w:r>
      <w:proofErr w:type="gramEnd"/>
      <w:r w:rsidRPr="00583C08">
        <w:rPr>
          <w:rFonts w:ascii="Arial" w:eastAsia="MS Mincho" w:hAnsi="Arial" w:cs="Arial"/>
          <w:snapToGrid w:val="0"/>
          <w:szCs w:val="24"/>
          <w:lang w:val="en-US" w:eastAsia="ja-JP"/>
        </w:rPr>
        <w:br/>
        <w:t>The number of included patients, the curve of inclusions (evolution of the number of patients included between the first and the last inclusion), the number of theoretical visits and the number of actual visits will be presented and compared between groups</w:t>
      </w:r>
    </w:p>
    <w:p w:rsidR="00583C08" w:rsidRPr="00583C08" w:rsidRDefault="00583C08" w:rsidP="00583C08">
      <w:pPr>
        <w:pStyle w:val="Retraitcorpsdetexte2"/>
        <w:spacing w:line="480" w:lineRule="auto"/>
        <w:jc w:val="left"/>
        <w:rPr>
          <w:rFonts w:ascii="Arial" w:eastAsia="MS Mincho" w:hAnsi="Arial" w:cs="Arial"/>
          <w:snapToGrid w:val="0"/>
          <w:szCs w:val="24"/>
          <w:lang w:val="en-US" w:eastAsia="ja-JP"/>
        </w:rPr>
      </w:pPr>
      <w:r w:rsidRPr="00583C08">
        <w:rPr>
          <w:rFonts w:ascii="Arial" w:eastAsia="MS Mincho" w:hAnsi="Arial" w:cs="Arial"/>
          <w:snapToGrid w:val="0"/>
          <w:szCs w:val="24"/>
          <w:u w:val="single"/>
          <w:lang w:val="en-US" w:eastAsia="ja-JP"/>
        </w:rPr>
        <w:t>Characteristics of patients before treatment</w:t>
      </w:r>
      <w:proofErr w:type="gramStart"/>
      <w:r w:rsidRPr="00583C08">
        <w:rPr>
          <w:rFonts w:ascii="Arial" w:eastAsia="MS Mincho" w:hAnsi="Arial" w:cs="Arial"/>
          <w:snapToGrid w:val="0"/>
          <w:szCs w:val="24"/>
          <w:lang w:val="en-US" w:eastAsia="ja-JP"/>
        </w:rPr>
        <w:t>:</w:t>
      </w:r>
      <w:proofErr w:type="gramEnd"/>
      <w:r w:rsidRPr="00583C08">
        <w:rPr>
          <w:rFonts w:ascii="Arial" w:eastAsia="MS Mincho" w:hAnsi="Arial" w:cs="Arial"/>
          <w:snapToGrid w:val="0"/>
          <w:szCs w:val="24"/>
          <w:lang w:val="en-US" w:eastAsia="ja-JP"/>
        </w:rPr>
        <w:br/>
        <w:t>Patients will be described according to the group of treatment and according to protocol violations:</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 Patients excluded from the analysis / Patients included in the analysis.</w:t>
      </w:r>
      <w:r w:rsidRPr="00583C08">
        <w:rPr>
          <w:rFonts w:ascii="Arial" w:eastAsia="MS Mincho" w:hAnsi="Arial" w:cs="Arial"/>
          <w:snapToGrid w:val="0"/>
          <w:szCs w:val="24"/>
          <w:lang w:val="en-US" w:eastAsia="ja-JP"/>
        </w:rPr>
        <w:br/>
        <w:t xml:space="preserve">- Patients included in the analysis with minor violations of the protocol / Patients </w:t>
      </w:r>
      <w:r w:rsidRPr="00583C08">
        <w:rPr>
          <w:rFonts w:ascii="Arial" w:eastAsia="MS Mincho" w:hAnsi="Arial" w:cs="Arial"/>
          <w:snapToGrid w:val="0"/>
          <w:szCs w:val="24"/>
          <w:lang w:val="en-US" w:eastAsia="ja-JP"/>
        </w:rPr>
        <w:lastRenderedPageBreak/>
        <w:t>included in the analysis without minor violation of the protocol.</w:t>
      </w:r>
      <w:r w:rsidRPr="00583C08">
        <w:rPr>
          <w:rFonts w:ascii="Arial" w:eastAsia="MS Mincho" w:hAnsi="Arial" w:cs="Arial"/>
          <w:snapToGrid w:val="0"/>
          <w:szCs w:val="24"/>
          <w:lang w:val="en-US" w:eastAsia="ja-JP"/>
        </w:rPr>
        <w:br/>
        <w:t>The characteristics of patients before treatment will be described by groups: frequencies for the qualitative variables; means, standard deviation, median, minimum and maximum for quantitative variables.</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u w:val="single"/>
          <w:lang w:val="en-US" w:eastAsia="ja-JP"/>
        </w:rPr>
        <w:t>Analysis of the primary endpoint</w:t>
      </w:r>
      <w:proofErr w:type="gramStart"/>
      <w:r w:rsidRPr="00583C08">
        <w:rPr>
          <w:rFonts w:ascii="Arial" w:eastAsia="MS Mincho" w:hAnsi="Arial" w:cs="Arial"/>
          <w:snapToGrid w:val="0"/>
          <w:szCs w:val="24"/>
          <w:u w:val="single"/>
          <w:lang w:val="en-US" w:eastAsia="ja-JP"/>
        </w:rPr>
        <w:t>:</w:t>
      </w:r>
      <w:proofErr w:type="gramEnd"/>
      <w:r w:rsidRPr="00583C08">
        <w:rPr>
          <w:rFonts w:ascii="Arial" w:eastAsia="MS Mincho" w:hAnsi="Arial" w:cs="Arial"/>
          <w:snapToGrid w:val="0"/>
          <w:szCs w:val="24"/>
          <w:lang w:val="en-US" w:eastAsia="ja-JP"/>
        </w:rPr>
        <w:br/>
        <w:t>The primary endpoint is the time of worsening of the EDSS score, estimated 2 years after the start of treatment. It will be analyzed when all patients have completed the scheduled follow-up.</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 xml:space="preserve">As a first step, the delay of worsening curves will be plotted using the Kaplan-Meier method and time of occurrence will be compared between treatment groups by the </w:t>
      </w:r>
      <w:proofErr w:type="spellStart"/>
      <w:r w:rsidRPr="00583C08">
        <w:rPr>
          <w:rFonts w:ascii="Arial" w:eastAsia="MS Mincho" w:hAnsi="Arial" w:cs="Arial"/>
          <w:snapToGrid w:val="0"/>
          <w:szCs w:val="24"/>
          <w:lang w:val="en-US" w:eastAsia="ja-JP"/>
        </w:rPr>
        <w:t>logrank</w:t>
      </w:r>
      <w:proofErr w:type="spellEnd"/>
      <w:r w:rsidRPr="00583C08">
        <w:rPr>
          <w:rFonts w:ascii="Arial" w:eastAsia="MS Mincho" w:hAnsi="Arial" w:cs="Arial"/>
          <w:snapToGrid w:val="0"/>
          <w:szCs w:val="24"/>
          <w:lang w:val="en-US" w:eastAsia="ja-JP"/>
        </w:rPr>
        <w:t xml:space="preserve"> test.</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In a second step, a Cox model will be built to study the effect of prognostic factors on the efficiency of treatment.</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 xml:space="preserve">The prognostic factors </w:t>
      </w:r>
      <w:proofErr w:type="spellStart"/>
      <w:r w:rsidRPr="00583C08">
        <w:rPr>
          <w:rFonts w:ascii="Arial" w:eastAsia="MS Mincho" w:hAnsi="Arial" w:cs="Arial"/>
          <w:snapToGrid w:val="0"/>
          <w:szCs w:val="24"/>
          <w:lang w:val="en-US" w:eastAsia="ja-JP"/>
        </w:rPr>
        <w:t>analysed</w:t>
      </w:r>
      <w:proofErr w:type="spellEnd"/>
      <w:r w:rsidRPr="00583C08">
        <w:rPr>
          <w:rFonts w:ascii="Arial" w:eastAsia="MS Mincho" w:hAnsi="Arial" w:cs="Arial"/>
          <w:snapToGrid w:val="0"/>
          <w:szCs w:val="24"/>
          <w:lang w:val="en-US" w:eastAsia="ja-JP"/>
        </w:rPr>
        <w:t xml:space="preserve"> are:</w:t>
      </w:r>
      <w:r w:rsidRPr="00583C08">
        <w:rPr>
          <w:rFonts w:ascii="Arial" w:eastAsia="MS Mincho" w:hAnsi="Arial" w:cs="Arial"/>
          <w:snapToGrid w:val="0"/>
          <w:szCs w:val="24"/>
          <w:lang w:val="en-US" w:eastAsia="ja-JP"/>
        </w:rPr>
        <w:br/>
      </w:r>
      <w:r w:rsidRPr="00583C08">
        <w:rPr>
          <w:rFonts w:ascii="Arial" w:eastAsia="MS Mincho" w:hAnsi="Arial" w:cs="Arial"/>
          <w:snapToGrid w:val="0"/>
          <w:szCs w:val="24"/>
          <w:lang w:val="en-US" w:eastAsia="ja-JP"/>
        </w:rPr>
        <w:tab/>
        <w:t>- the existence of relapses in the 12 months before the beginning of the treatment,</w:t>
      </w:r>
      <w:r w:rsidRPr="00583C08">
        <w:rPr>
          <w:rFonts w:ascii="Arial" w:eastAsia="MS Mincho" w:hAnsi="Arial" w:cs="Arial"/>
          <w:snapToGrid w:val="0"/>
          <w:szCs w:val="24"/>
          <w:lang w:val="en-US" w:eastAsia="ja-JP"/>
        </w:rPr>
        <w:tab/>
        <w:t>- the presence of gadolinium-enhanced lesions on MRI performed prior to initiation of treatment,</w:t>
      </w:r>
      <w:r w:rsidRPr="00583C08">
        <w:rPr>
          <w:rFonts w:ascii="Arial" w:eastAsia="MS Mincho" w:hAnsi="Arial" w:cs="Arial"/>
          <w:snapToGrid w:val="0"/>
          <w:szCs w:val="24"/>
          <w:lang w:val="en-US" w:eastAsia="ja-JP"/>
        </w:rPr>
        <w:br/>
      </w:r>
      <w:r w:rsidRPr="00583C08">
        <w:rPr>
          <w:rFonts w:ascii="Arial" w:eastAsia="MS Mincho" w:hAnsi="Arial" w:cs="Arial"/>
          <w:snapToGrid w:val="0"/>
          <w:szCs w:val="24"/>
          <w:lang w:val="en-US" w:eastAsia="ja-JP"/>
        </w:rPr>
        <w:tab/>
        <w:t>- the disease duration at the time of initiation of treatment.</w:t>
      </w:r>
      <w:r w:rsidRPr="00583C08">
        <w:rPr>
          <w:rFonts w:ascii="Arial" w:eastAsia="MS Mincho" w:hAnsi="Arial" w:cs="Arial"/>
          <w:snapToGrid w:val="0"/>
          <w:szCs w:val="24"/>
          <w:lang w:val="en-US" w:eastAsia="ja-JP"/>
        </w:rPr>
        <w:br/>
        <w:t>The Cox model will take into account each of these 3 prognostic factors as well as the interaction between treatment and the existence of relapses or the presence of gadolinium-enhanced lesions on MRI to investigate a possible difference of effect of treatments based on the existence of these prognostic factors. In the event of statistically significant interaction, the results of both treatments will be described and compared in each subgroup of prognostic factor.</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u w:val="single"/>
          <w:lang w:val="en-US" w:eastAsia="ja-JP"/>
        </w:rPr>
        <w:lastRenderedPageBreak/>
        <w:t>Analysis of the secondary endpoints</w:t>
      </w:r>
      <w:proofErr w:type="gramStart"/>
      <w:r w:rsidRPr="00583C08">
        <w:rPr>
          <w:rFonts w:ascii="Arial" w:eastAsia="MS Mincho" w:hAnsi="Arial" w:cs="Arial"/>
          <w:snapToGrid w:val="0"/>
          <w:szCs w:val="24"/>
          <w:u w:val="single"/>
          <w:lang w:val="en-US" w:eastAsia="ja-JP"/>
        </w:rPr>
        <w:t>:</w:t>
      </w:r>
      <w:proofErr w:type="gramEnd"/>
      <w:r w:rsidRPr="00583C08">
        <w:rPr>
          <w:rFonts w:ascii="Arial" w:eastAsia="MS Mincho" w:hAnsi="Arial" w:cs="Arial"/>
          <w:snapToGrid w:val="0"/>
          <w:szCs w:val="24"/>
          <w:u w:val="single"/>
          <w:lang w:val="en-US" w:eastAsia="ja-JP"/>
        </w:rPr>
        <w:br/>
      </w:r>
      <w:r w:rsidRPr="00583C08">
        <w:rPr>
          <w:rFonts w:ascii="Arial" w:eastAsia="MS Mincho" w:hAnsi="Arial" w:cs="Arial"/>
          <w:snapToGrid w:val="0"/>
          <w:szCs w:val="24"/>
          <w:lang w:val="en-US" w:eastAsia="ja-JP"/>
        </w:rPr>
        <w:t>- Proportion of patients deteriorated at 2 years:</w:t>
      </w:r>
    </w:p>
    <w:p w:rsidR="00583C08" w:rsidRDefault="00583C08" w:rsidP="00583C08">
      <w:pPr>
        <w:pStyle w:val="Retraitcorpsdetexte2"/>
        <w:spacing w:line="480" w:lineRule="auto"/>
        <w:ind w:left="1288"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The proportion of patients worsened at 2 years will be described in the 2 treatment groups (proportion and 95% of this estimate confidence interval). Comparison of the proportions of patients worsened at 2 years will be conducted by a Chi-square</w:t>
      </w:r>
      <w:r>
        <w:rPr>
          <w:rFonts w:ascii="Arial" w:eastAsia="MS Mincho" w:hAnsi="Arial" w:cs="Arial"/>
          <w:snapToGrid w:val="0"/>
          <w:szCs w:val="24"/>
          <w:lang w:val="en-US" w:eastAsia="ja-JP"/>
        </w:rPr>
        <w:t xml:space="preserve"> test</w:t>
      </w:r>
      <w:r w:rsidRPr="00583C08">
        <w:rPr>
          <w:rFonts w:ascii="Arial" w:eastAsia="MS Mincho" w:hAnsi="Arial" w:cs="Arial"/>
          <w:snapToGrid w:val="0"/>
          <w:szCs w:val="24"/>
          <w:lang w:val="en-US" w:eastAsia="ja-JP"/>
        </w:rPr>
        <w:t xml:space="preserve"> if theoretical numbers are sufficient (n≥5) or by Fisher's test otherwise.</w:t>
      </w:r>
    </w:p>
    <w:p w:rsidR="00583C08" w:rsidRDefault="00583C08" w:rsidP="00583C08">
      <w:pPr>
        <w:pStyle w:val="Retraitcorpsdetexte2"/>
        <w:spacing w:line="480" w:lineRule="auto"/>
        <w:jc w:val="left"/>
        <w:rPr>
          <w:rFonts w:ascii="Arial" w:eastAsia="MS Mincho" w:hAnsi="Arial" w:cs="Arial"/>
          <w:snapToGrid w:val="0"/>
          <w:szCs w:val="24"/>
          <w:lang w:val="en-US" w:eastAsia="ja-JP"/>
        </w:rPr>
      </w:pPr>
      <w:r>
        <w:rPr>
          <w:rFonts w:ascii="Arial" w:eastAsia="MS Mincho" w:hAnsi="Arial" w:cs="Arial"/>
          <w:snapToGrid w:val="0"/>
          <w:szCs w:val="24"/>
          <w:lang w:val="en-US" w:eastAsia="ja-JP"/>
        </w:rPr>
        <w:t xml:space="preserve">- </w:t>
      </w:r>
      <w:r w:rsidRPr="00583C08">
        <w:rPr>
          <w:rFonts w:ascii="Arial" w:eastAsia="MS Mincho" w:hAnsi="Arial" w:cs="Arial"/>
          <w:snapToGrid w:val="0"/>
          <w:szCs w:val="24"/>
          <w:lang w:val="en-US" w:eastAsia="ja-JP"/>
        </w:rPr>
        <w:t xml:space="preserve">Z-scores and </w:t>
      </w:r>
      <w:proofErr w:type="gramStart"/>
      <w:r w:rsidRPr="00583C08">
        <w:rPr>
          <w:rFonts w:ascii="Arial" w:eastAsia="MS Mincho" w:hAnsi="Arial" w:cs="Arial"/>
          <w:snapToGrid w:val="0"/>
          <w:szCs w:val="24"/>
          <w:lang w:val="en-US" w:eastAsia="ja-JP"/>
        </w:rPr>
        <w:t>MSFC :</w:t>
      </w:r>
      <w:proofErr w:type="gramEnd"/>
      <w:r>
        <w:rPr>
          <w:rFonts w:ascii="Arial" w:eastAsia="MS Mincho" w:hAnsi="Arial" w:cs="Arial"/>
          <w:snapToGrid w:val="0"/>
          <w:szCs w:val="24"/>
          <w:lang w:val="en-US" w:eastAsia="ja-JP"/>
        </w:rPr>
        <w:t xml:space="preserve"> </w:t>
      </w:r>
      <w:r w:rsidRPr="00583C08">
        <w:rPr>
          <w:rFonts w:ascii="Arial" w:eastAsia="MS Mincho" w:hAnsi="Arial" w:cs="Arial"/>
          <w:snapToGrid w:val="0"/>
          <w:szCs w:val="24"/>
          <w:lang w:val="en-US" w:eastAsia="ja-JP"/>
        </w:rPr>
        <w:t>z scores will be calculated using as reference population the population at baseline according to international recommendations (Cutter et al ., 1999).</w:t>
      </w:r>
      <w:r>
        <w:rPr>
          <w:rFonts w:ascii="Arial" w:eastAsia="MS Mincho" w:hAnsi="Arial" w:cs="Arial"/>
          <w:snapToGrid w:val="0"/>
          <w:szCs w:val="24"/>
          <w:lang w:val="en-US" w:eastAsia="ja-JP"/>
        </w:rPr>
        <w:t xml:space="preserve"> </w:t>
      </w:r>
      <w:r w:rsidRPr="00583C08">
        <w:rPr>
          <w:rFonts w:ascii="Arial" w:eastAsia="MS Mincho" w:hAnsi="Arial" w:cs="Arial"/>
          <w:snapToGrid w:val="0"/>
          <w:szCs w:val="24"/>
          <w:lang w:val="en-US" w:eastAsia="ja-JP"/>
        </w:rPr>
        <w:t>The mean z-scores and the mean MSFC will be compared by a Student's test if the implementing conditions are met (homogeneous variances, normal distributions). If variances are not homogeneous, a Student's test for unequal variances will be used. If the distribution is not normal, a Mann-Whitney test will be used.</w:t>
      </w:r>
    </w:p>
    <w:p w:rsidR="00583C08" w:rsidRPr="00583C08" w:rsidRDefault="00583C08" w:rsidP="00583C08">
      <w:pPr>
        <w:pStyle w:val="Retraitcorpsdetexte2"/>
        <w:spacing w:line="480" w:lineRule="auto"/>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 Number of relapses (exacerbations</w:t>
      </w:r>
      <w:proofErr w:type="gramStart"/>
      <w:r w:rsidRPr="00583C08">
        <w:rPr>
          <w:rFonts w:ascii="Arial" w:eastAsia="MS Mincho" w:hAnsi="Arial" w:cs="Arial"/>
          <w:snapToGrid w:val="0"/>
          <w:szCs w:val="24"/>
          <w:lang w:val="en-US" w:eastAsia="ja-JP"/>
        </w:rPr>
        <w:t>) :</w:t>
      </w:r>
      <w:proofErr w:type="gramEnd"/>
    </w:p>
    <w:p w:rsidR="00583C08" w:rsidRDefault="00583C08" w:rsidP="00583C08">
      <w:pPr>
        <w:pStyle w:val="Retraitcorpsdetexte2"/>
        <w:spacing w:line="480" w:lineRule="auto"/>
        <w:ind w:left="1288"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The number of exacerbations will be described in the two groups of patients (mean and 95% confidence interval, median, minimum-</w:t>
      </w:r>
      <w:bookmarkStart w:id="0" w:name="_GoBack"/>
      <w:bookmarkEnd w:id="0"/>
      <w:r w:rsidRPr="00583C08">
        <w:rPr>
          <w:rFonts w:ascii="Arial" w:eastAsia="MS Mincho" w:hAnsi="Arial" w:cs="Arial"/>
          <w:snapToGrid w:val="0"/>
          <w:szCs w:val="24"/>
          <w:lang w:val="en-US" w:eastAsia="ja-JP"/>
        </w:rPr>
        <w:t>maximum). The means of the number exacerbations observed in the two groups will be compared by a Student's test if the validity of the test conditions are met (normal distribution, homogeneous variances). If variances are not homogeneous, a Student's test for unequal variances will be used. If the distribution is not normal, a Mann-Whitney test will be used.</w:t>
      </w:r>
    </w:p>
    <w:p w:rsid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 xml:space="preserve">- Comparison groups </w:t>
      </w:r>
      <w:proofErr w:type="gramStart"/>
      <w:r w:rsidRPr="00583C08">
        <w:rPr>
          <w:rFonts w:ascii="Arial" w:eastAsia="MS Mincho" w:hAnsi="Arial" w:cs="Arial"/>
          <w:snapToGrid w:val="0"/>
          <w:szCs w:val="24"/>
          <w:lang w:val="en-US" w:eastAsia="ja-JP"/>
        </w:rPr>
        <w:t>for safety :</w:t>
      </w:r>
      <w:proofErr w:type="gramEnd"/>
      <w:r w:rsidRPr="00583C08">
        <w:rPr>
          <w:rFonts w:ascii="Arial" w:eastAsia="MS Mincho" w:hAnsi="Arial" w:cs="Arial"/>
          <w:snapToGrid w:val="0"/>
          <w:szCs w:val="24"/>
          <w:lang w:val="en-US" w:eastAsia="ja-JP"/>
        </w:rPr>
        <w:br/>
        <w:t xml:space="preserve">The proportion of serious adverse events (SAE) and non-serious AE occurring during </w:t>
      </w:r>
      <w:r w:rsidRPr="00583C08">
        <w:rPr>
          <w:rFonts w:ascii="Arial" w:eastAsia="MS Mincho" w:hAnsi="Arial" w:cs="Arial"/>
          <w:snapToGrid w:val="0"/>
          <w:szCs w:val="24"/>
          <w:lang w:val="en-US" w:eastAsia="ja-JP"/>
        </w:rPr>
        <w:lastRenderedPageBreak/>
        <w:t xml:space="preserve">follow-up in each treatment group will be described, and groups will be compared for the frequency of occurrence of these events, their severity and their accountability to the study treatments. Comparisons of proportions will be carried out by a Chi-square </w:t>
      </w:r>
      <w:proofErr w:type="spellStart"/>
      <w:proofErr w:type="gramStart"/>
      <w:r w:rsidRPr="00583C08">
        <w:rPr>
          <w:rFonts w:ascii="Arial" w:eastAsia="MS Mincho" w:hAnsi="Arial" w:cs="Arial"/>
          <w:snapToGrid w:val="0"/>
          <w:szCs w:val="24"/>
          <w:lang w:val="en-US" w:eastAsia="ja-JP"/>
        </w:rPr>
        <w:t>tes</w:t>
      </w:r>
      <w:proofErr w:type="spellEnd"/>
      <w:r w:rsidRPr="00583C08">
        <w:rPr>
          <w:rFonts w:ascii="Arial" w:eastAsia="MS Mincho" w:hAnsi="Arial" w:cs="Arial"/>
          <w:snapToGrid w:val="0"/>
          <w:szCs w:val="24"/>
          <w:lang w:val="en-US" w:eastAsia="ja-JP"/>
        </w:rPr>
        <w:t xml:space="preserve">  if</w:t>
      </w:r>
      <w:proofErr w:type="gramEnd"/>
      <w:r w:rsidRPr="00583C08">
        <w:rPr>
          <w:rFonts w:ascii="Arial" w:eastAsia="MS Mincho" w:hAnsi="Arial" w:cs="Arial"/>
          <w:snapToGrid w:val="0"/>
          <w:szCs w:val="24"/>
          <w:lang w:val="en-US" w:eastAsia="ja-JP"/>
        </w:rPr>
        <w:t xml:space="preserve"> theoretical numbers are sufficient (n≥5) or by Fisher's test otherwise.</w:t>
      </w:r>
    </w:p>
    <w:p w:rsidR="00583C08" w:rsidRPr="00583C08" w:rsidRDefault="00583C08" w:rsidP="00583C08">
      <w:pPr>
        <w:pStyle w:val="Retraitcorpsdetexte2"/>
        <w:spacing w:line="480" w:lineRule="auto"/>
        <w:ind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The time of occurrence of an event will be analyzed taking into account only the first occurrence of the event. The event curves will be plotted using the Kaplan-Meier method. The comparison tests of the time of occurrence of the events between treatment groups will be carried out by the log-rank test.</w:t>
      </w:r>
    </w:p>
    <w:p w:rsidR="00583C08" w:rsidRPr="00583C08" w:rsidRDefault="00583C08" w:rsidP="00583C08">
      <w:pPr>
        <w:pStyle w:val="Retraitcorpsdetexte2"/>
        <w:spacing w:line="480" w:lineRule="auto"/>
        <w:ind w:left="1288" w:firstLine="0"/>
        <w:jc w:val="left"/>
        <w:rPr>
          <w:rFonts w:ascii="Arial" w:eastAsia="MS Mincho" w:hAnsi="Arial" w:cs="Arial"/>
          <w:snapToGrid w:val="0"/>
          <w:szCs w:val="24"/>
          <w:lang w:val="en-US" w:eastAsia="ja-JP"/>
        </w:rPr>
      </w:pPr>
    </w:p>
    <w:p w:rsidR="00583C08" w:rsidRPr="00583C08" w:rsidRDefault="00583C08" w:rsidP="00583C08">
      <w:pPr>
        <w:pStyle w:val="Retraitcorpsdetexte2"/>
        <w:numPr>
          <w:ilvl w:val="0"/>
          <w:numId w:val="1"/>
        </w:numPr>
        <w:spacing w:line="480" w:lineRule="auto"/>
        <w:jc w:val="left"/>
        <w:rPr>
          <w:rFonts w:ascii="Arial" w:eastAsia="MS Mincho" w:hAnsi="Arial" w:cs="Arial"/>
          <w:snapToGrid w:val="0"/>
          <w:szCs w:val="24"/>
          <w:lang w:val="en-US" w:eastAsia="ja-JP"/>
        </w:rPr>
      </w:pPr>
      <w:r w:rsidRPr="00583C08">
        <w:rPr>
          <w:rFonts w:ascii="Arial" w:eastAsia="MS Mincho" w:hAnsi="Arial" w:cs="Arial"/>
          <w:snapToGrid w:val="0"/>
          <w:szCs w:val="24"/>
          <w:u w:val="single"/>
          <w:lang w:val="en-US" w:eastAsia="ja-JP"/>
        </w:rPr>
        <w:t xml:space="preserve">Analysis of exploratory </w:t>
      </w:r>
      <w:proofErr w:type="spellStart"/>
      <w:r w:rsidRPr="00583C08">
        <w:rPr>
          <w:rFonts w:ascii="Arial" w:eastAsia="MS Mincho" w:hAnsi="Arial" w:cs="Arial"/>
          <w:snapToGrid w:val="0"/>
          <w:szCs w:val="24"/>
          <w:u w:val="single"/>
          <w:lang w:val="en-US" w:eastAsia="ja-JP"/>
        </w:rPr>
        <w:t>judgement</w:t>
      </w:r>
      <w:proofErr w:type="spellEnd"/>
      <w:r w:rsidRPr="00583C08">
        <w:rPr>
          <w:rFonts w:ascii="Arial" w:eastAsia="MS Mincho" w:hAnsi="Arial" w:cs="Arial"/>
          <w:snapToGrid w:val="0"/>
          <w:szCs w:val="24"/>
          <w:u w:val="single"/>
          <w:lang w:val="en-US" w:eastAsia="ja-JP"/>
        </w:rPr>
        <w:t xml:space="preserve"> criteria:</w:t>
      </w:r>
      <w:r w:rsidRPr="00583C08">
        <w:rPr>
          <w:rFonts w:ascii="Arial" w:eastAsia="MS Mincho" w:hAnsi="Arial" w:cs="Arial"/>
          <w:snapToGrid w:val="0"/>
          <w:szCs w:val="24"/>
          <w:lang w:val="en-US" w:eastAsia="ja-JP"/>
        </w:rPr>
        <w:br/>
        <w:t xml:space="preserve">- Quality of life at 2 years patient related outcome (PEO), handicap PRO (MSIS) and </w:t>
      </w:r>
      <w:proofErr w:type="spellStart"/>
      <w:r w:rsidRPr="00583C08">
        <w:rPr>
          <w:rFonts w:ascii="Arial" w:eastAsia="MS Mincho" w:hAnsi="Arial" w:cs="Arial"/>
          <w:snapToGrid w:val="0"/>
          <w:szCs w:val="24"/>
          <w:lang w:val="en-US" w:eastAsia="ja-JP"/>
        </w:rPr>
        <w:t>self evaluation</w:t>
      </w:r>
      <w:proofErr w:type="spellEnd"/>
      <w:r w:rsidRPr="00583C08">
        <w:rPr>
          <w:rFonts w:ascii="Arial" w:eastAsia="MS Mincho" w:hAnsi="Arial" w:cs="Arial"/>
          <w:snapToGrid w:val="0"/>
          <w:szCs w:val="24"/>
          <w:lang w:val="en-US" w:eastAsia="ja-JP"/>
        </w:rPr>
        <w:t xml:space="preserve"> of </w:t>
      </w:r>
      <w:proofErr w:type="spellStart"/>
      <w:r w:rsidRPr="00583C08">
        <w:rPr>
          <w:rFonts w:ascii="Arial" w:eastAsia="MS Mincho" w:hAnsi="Arial" w:cs="Arial"/>
          <w:snapToGrid w:val="0"/>
          <w:szCs w:val="24"/>
          <w:lang w:val="en-US" w:eastAsia="ja-JP"/>
        </w:rPr>
        <w:t>ambulmation</w:t>
      </w:r>
      <w:proofErr w:type="spellEnd"/>
      <w:r w:rsidRPr="00583C08">
        <w:rPr>
          <w:rFonts w:ascii="Arial" w:eastAsia="MS Mincho" w:hAnsi="Arial" w:cs="Arial"/>
          <w:snapToGrid w:val="0"/>
          <w:szCs w:val="24"/>
          <w:lang w:val="en-US" w:eastAsia="ja-JP"/>
        </w:rPr>
        <w:t xml:space="preserve"> at one and two years</w:t>
      </w:r>
    </w:p>
    <w:p w:rsidR="00583C08" w:rsidRPr="00583C08" w:rsidRDefault="00583C08" w:rsidP="00583C08">
      <w:pPr>
        <w:pStyle w:val="Retraitcorpsdetexte2"/>
        <w:numPr>
          <w:ilvl w:val="0"/>
          <w:numId w:val="1"/>
        </w:numPr>
        <w:spacing w:line="480" w:lineRule="auto"/>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 xml:space="preserve">Number of </w:t>
      </w:r>
      <w:proofErr w:type="spellStart"/>
      <w:r w:rsidRPr="00583C08">
        <w:rPr>
          <w:rFonts w:ascii="Arial" w:eastAsia="MS Mincho" w:hAnsi="Arial" w:cs="Arial"/>
          <w:snapToGrid w:val="0"/>
          <w:szCs w:val="24"/>
          <w:lang w:val="en-US" w:eastAsia="ja-JP"/>
        </w:rPr>
        <w:t>eosiniophils</w:t>
      </w:r>
      <w:proofErr w:type="spellEnd"/>
    </w:p>
    <w:p w:rsidR="00583C08" w:rsidRPr="00583C08" w:rsidRDefault="00583C08" w:rsidP="00583C08">
      <w:pPr>
        <w:pStyle w:val="Retraitcorpsdetexte2"/>
        <w:spacing w:line="480" w:lineRule="auto"/>
        <w:ind w:left="1288" w:firstLine="0"/>
        <w:jc w:val="left"/>
        <w:rPr>
          <w:rFonts w:ascii="Arial" w:eastAsia="MS Mincho" w:hAnsi="Arial" w:cs="Arial"/>
          <w:snapToGrid w:val="0"/>
          <w:szCs w:val="24"/>
          <w:lang w:val="en-US" w:eastAsia="ja-JP"/>
        </w:rPr>
      </w:pPr>
      <w:r w:rsidRPr="00583C08">
        <w:rPr>
          <w:rFonts w:ascii="Arial" w:eastAsia="MS Mincho" w:hAnsi="Arial" w:cs="Arial"/>
          <w:snapToGrid w:val="0"/>
          <w:szCs w:val="24"/>
          <w:lang w:val="en-US" w:eastAsia="ja-JP"/>
        </w:rPr>
        <w:t>To describe the evolution of each score during the follow-up, the means scores will be compared between the two treatment groups by analysis of variance with repeated in time measurements.</w:t>
      </w:r>
    </w:p>
    <w:p w:rsidR="00583C08" w:rsidRPr="007C416E" w:rsidRDefault="00583C08" w:rsidP="00583C08">
      <w:pPr>
        <w:autoSpaceDE w:val="0"/>
        <w:autoSpaceDN w:val="0"/>
        <w:adjustRightInd w:val="0"/>
        <w:spacing w:line="480" w:lineRule="auto"/>
        <w:rPr>
          <w:rFonts w:ascii="Arial" w:eastAsiaTheme="minorHAnsi" w:hAnsi="Arial" w:cs="Arial"/>
          <w:color w:val="000000"/>
          <w:lang w:val="en-US" w:eastAsia="en-US"/>
        </w:rPr>
      </w:pPr>
      <w:r w:rsidRPr="00583C08">
        <w:rPr>
          <w:rFonts w:ascii="Arial" w:hAnsi="Arial" w:cs="Arial"/>
          <w:snapToGrid w:val="0"/>
          <w:lang w:val="en-US"/>
        </w:rPr>
        <w:t xml:space="preserve">For each of the secondary criteria (proportion of patients worsened </w:t>
      </w:r>
      <w:r>
        <w:rPr>
          <w:rFonts w:ascii="Arial" w:hAnsi="Arial" w:cs="Arial"/>
          <w:snapToGrid w:val="0"/>
          <w:lang w:val="en-US"/>
        </w:rPr>
        <w:t xml:space="preserve">at </w:t>
      </w:r>
      <w:r w:rsidRPr="00583C08">
        <w:rPr>
          <w:rFonts w:ascii="Arial" w:hAnsi="Arial" w:cs="Arial"/>
          <w:snapToGrid w:val="0"/>
          <w:lang w:val="en-US"/>
        </w:rPr>
        <w:t>2 y</w:t>
      </w:r>
      <w:r>
        <w:rPr>
          <w:rFonts w:ascii="Arial" w:hAnsi="Arial" w:cs="Arial"/>
          <w:snapToGrid w:val="0"/>
          <w:lang w:val="en-US"/>
        </w:rPr>
        <w:t xml:space="preserve">ears, Z-scores, </w:t>
      </w:r>
      <w:r w:rsidRPr="00583C08">
        <w:rPr>
          <w:rFonts w:ascii="Arial" w:hAnsi="Arial" w:cs="Arial"/>
          <w:snapToGrid w:val="0"/>
          <w:lang w:val="en-US"/>
        </w:rPr>
        <w:t xml:space="preserve">MSFC, number of relapses), the same analyses will be made at 6 months, as well as 44 weeks. Analysis of variance with repeated in time measurements will be carried out to describe the evolution during the follow-up period </w:t>
      </w:r>
      <w:r>
        <w:rPr>
          <w:rFonts w:ascii="Arial" w:hAnsi="Arial" w:cs="Arial"/>
          <w:snapToGrid w:val="0"/>
          <w:lang w:val="en-US"/>
        </w:rPr>
        <w:t>for</w:t>
      </w:r>
      <w:r w:rsidRPr="00583C08">
        <w:rPr>
          <w:rFonts w:ascii="Arial" w:hAnsi="Arial" w:cs="Arial"/>
          <w:snapToGrid w:val="0"/>
          <w:lang w:val="en-US"/>
        </w:rPr>
        <w:t xml:space="preserve"> each of these criteria.</w:t>
      </w:r>
    </w:p>
    <w:p w:rsidR="007C416E" w:rsidRDefault="007C416E" w:rsidP="00583C08">
      <w:pPr>
        <w:autoSpaceDE w:val="0"/>
        <w:autoSpaceDN w:val="0"/>
        <w:adjustRightInd w:val="0"/>
        <w:spacing w:line="480" w:lineRule="auto"/>
        <w:rPr>
          <w:rFonts w:ascii="Arial" w:eastAsia="ArialUnicodeMS" w:hAnsi="Arial" w:cs="Arial"/>
          <w:b/>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r w:rsidRPr="007C416E">
        <w:rPr>
          <w:rFonts w:ascii="Arial" w:eastAsia="ArialUnicodeMS" w:hAnsi="Arial" w:cs="Arial"/>
          <w:b/>
          <w:color w:val="000000"/>
          <w:lang w:val="en-US" w:eastAsia="en-US"/>
        </w:rPr>
        <w:t>Conditions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Multiple Sclerosis, Chronic Progressive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Keywords</w:t>
      </w:r>
      <w:r w:rsidRPr="007C416E">
        <w:rPr>
          <w:rFonts w:ascii="Arial" w:eastAsia="ArialUnicodeMS" w:hAnsi="Arial" w:cs="Arial"/>
          <w:color w:val="000000"/>
          <w:lang w:val="en-US" w:eastAsia="en-US"/>
        </w:rPr>
        <w:t>: Multiple Sclerosis, Chronic Progressive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lastRenderedPageBreak/>
        <w:t>Cyclophosphamide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Methylprednisolone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Randomized Controlled Trials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Double-Blind Study</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Study Design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Study Type: Interventional</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Primary Purpose: Treatment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Study Phase: Phase 3</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Intervention Model: Parallel Assignment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Number of Arms: 2</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Masking: Double Blind (Subject, Investigator)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Allocation: Randomized</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Endpoint Classification: Efficacy Study</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t>Arms and Interventions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Arms Assigned Interventions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Experimental: </w:t>
      </w:r>
      <w:r w:rsidRPr="007C416E">
        <w:rPr>
          <w:rFonts w:ascii="Arial" w:eastAsia="ArialUnicodeMS" w:hAnsi="Arial" w:cs="Arial"/>
          <w:color w:val="000000"/>
          <w:lang w:val="en-US" w:eastAsia="en-US"/>
        </w:rPr>
        <w:t>IV cyclophosphamide infusion administered every 4</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weeks during 1 year and every 8 weeks during 1 year.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Active Comparator: </w:t>
      </w:r>
      <w:r w:rsidRPr="007C416E">
        <w:rPr>
          <w:rFonts w:ascii="Arial" w:eastAsia="ArialUnicodeMS" w:hAnsi="Arial" w:cs="Arial"/>
          <w:color w:val="000000"/>
          <w:lang w:val="en-US" w:eastAsia="en-US"/>
        </w:rPr>
        <w:t>Methylprednisolone</w:t>
      </w:r>
      <w:r w:rsidRPr="007C416E">
        <w:rPr>
          <w:rFonts w:ascii="Arial" w:eastAsia="ArialUnicodeMS" w:hAnsi="Arial" w:cs="Arial"/>
          <w:color w:val="000000"/>
          <w:lang w:val="en-US" w:eastAsia="en-US"/>
        </w:rPr>
        <w:t xml:space="preserve"> IV</w:t>
      </w:r>
      <w:r w:rsidRPr="007C416E">
        <w:rPr>
          <w:rFonts w:ascii="Arial" w:eastAsia="ArialUnicodeMS" w:hAnsi="Arial" w:cs="Arial"/>
          <w:color w:val="000000"/>
          <w:lang w:val="en-US" w:eastAsia="en-US"/>
        </w:rPr>
        <w:t xml:space="preserve"> infusion</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administered every 4 weeks during 1 year and every 8</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weeks during 1 year.</w:t>
      </w: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r w:rsidRPr="007C416E">
        <w:rPr>
          <w:rFonts w:ascii="Arial" w:eastAsia="ArialUnicodeMS" w:hAnsi="Arial" w:cs="Arial"/>
          <w:b/>
          <w:color w:val="000000"/>
          <w:lang w:val="en-US" w:eastAsia="en-US"/>
        </w:rPr>
        <w:t>Outcome Measures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u w:val="single"/>
          <w:lang w:val="en-US" w:eastAsia="en-US"/>
        </w:rPr>
        <w:t>Primary Outcome Measure</w:t>
      </w:r>
      <w:r w:rsidRPr="007C416E">
        <w:rPr>
          <w:rFonts w:ascii="Arial" w:eastAsia="ArialUnicodeMS" w:hAnsi="Arial" w:cs="Arial"/>
          <w:color w:val="000000"/>
          <w:lang w:val="en-US" w:eastAsia="en-US"/>
        </w:rPr>
        <w: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Delay to disability deterioration as assessed by the Expanded Disability Status Scale (EDSS: 0.5 or </w:t>
      </w:r>
      <w:r w:rsidRPr="007C416E">
        <w:rPr>
          <w:rFonts w:ascii="Arial" w:eastAsia="ArialUnicodeMS" w:hAnsi="Arial" w:cs="Arial"/>
          <w:color w:val="000000"/>
          <w:lang w:val="en-US" w:eastAsia="en-US"/>
        </w:rPr>
        <w:t>1</w:t>
      </w:r>
      <w:r w:rsidRPr="007C416E">
        <w:rPr>
          <w:rFonts w:ascii="Arial" w:eastAsia="ArialUnicodeMS" w:hAnsi="Arial" w:cs="Arial"/>
          <w:color w:val="000000"/>
          <w:lang w:val="en-US" w:eastAsia="en-US"/>
        </w:rPr>
        <w:t xml:space="preserve"> point increase,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depending on baseline score)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[Time Frame: every 4 weeks for one year, then every 8 weeks for one year] </w:t>
      </w:r>
    </w:p>
    <w:p w:rsidR="007C416E" w:rsidRPr="007C416E" w:rsidRDefault="007C416E" w:rsidP="007C416E">
      <w:pPr>
        <w:autoSpaceDE w:val="0"/>
        <w:autoSpaceDN w:val="0"/>
        <w:adjustRightInd w:val="0"/>
        <w:spacing w:line="480" w:lineRule="auto"/>
        <w:rPr>
          <w:rFonts w:ascii="Arial" w:eastAsia="ArialUnicodeMS" w:hAnsi="Arial" w:cs="Arial"/>
          <w:color w:val="000000"/>
          <w:u w:val="single"/>
          <w:lang w:val="en-US" w:eastAsia="en-US"/>
        </w:rPr>
      </w:pPr>
      <w:r w:rsidRPr="007C416E">
        <w:rPr>
          <w:rFonts w:ascii="Arial" w:eastAsia="ArialUnicodeMS" w:hAnsi="Arial" w:cs="Arial"/>
          <w:color w:val="000000"/>
          <w:u w:val="single"/>
          <w:lang w:val="en-US" w:eastAsia="en-US"/>
        </w:rPr>
        <w:lastRenderedPageBreak/>
        <w:t>Secondary Outcome Measure:</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Proportion of patients with disability deterioration (EDSS: 0.5 or 1 point increase, depending on baseline score)</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[Time Frame: every month during one year then every two months during the 2nd year]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Multiple Sclerosis Functional Composite (MSFC) and the Z scores of MSFC three components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[Time Frame: Visit number 1, 2, 13(at one year),19 (at t</w:t>
      </w:r>
      <w:r w:rsidRPr="007C416E">
        <w:rPr>
          <w:rFonts w:ascii="Arial" w:eastAsia="ArialUnicodeMS" w:hAnsi="Arial" w:cs="Arial"/>
          <w:color w:val="000000"/>
          <w:lang w:val="en-US" w:eastAsia="en-US"/>
        </w:rPr>
        <w:t xml:space="preserve">wo years) and 20 (last visit)]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Number of MS relapses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[Time Frame: all along the follow up period] </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Proportion of patients with adverse events and delay of occurrence of adverse events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[Time Frame: all along the follo</w:t>
      </w:r>
      <w:r w:rsidRPr="007C416E">
        <w:rPr>
          <w:rFonts w:ascii="Arial" w:eastAsia="ArialUnicodeMS" w:hAnsi="Arial" w:cs="Arial"/>
          <w:color w:val="000000"/>
          <w:lang w:val="en-US" w:eastAsia="en-US"/>
        </w:rPr>
        <w:t>w up period]</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Quality of life questionnaires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[Time Frame: visit 2, 13(at one year) and 19 (at two years)]</w:t>
      </w:r>
    </w:p>
    <w:p w:rsidR="007C416E" w:rsidRPr="007C416E" w:rsidRDefault="007C416E" w:rsidP="007C416E">
      <w:pPr>
        <w:pStyle w:val="Paragraphedeliste"/>
        <w:numPr>
          <w:ilvl w:val="0"/>
          <w:numId w:val="2"/>
        </w:num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Disability self-assessment questionnaires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 xml:space="preserve">[Time Frame: </w:t>
      </w:r>
      <w:proofErr w:type="spellStart"/>
      <w:r w:rsidRPr="007C416E">
        <w:rPr>
          <w:rFonts w:ascii="Arial" w:eastAsia="ArialUnicodeMS" w:hAnsi="Arial" w:cs="Arial"/>
          <w:color w:val="000000"/>
          <w:lang w:val="en-US" w:eastAsia="en-US"/>
        </w:rPr>
        <w:t>visite</w:t>
      </w:r>
      <w:proofErr w:type="spellEnd"/>
      <w:r w:rsidRPr="007C416E">
        <w:rPr>
          <w:rFonts w:ascii="Arial" w:eastAsia="ArialUnicodeMS" w:hAnsi="Arial" w:cs="Arial"/>
          <w:color w:val="000000"/>
          <w:lang w:val="en-US" w:eastAsia="en-US"/>
        </w:rPr>
        <w:t xml:space="preserve"> 2, 13 et 19]</w:t>
      </w:r>
    </w:p>
    <w:p w:rsidR="007C416E" w:rsidRPr="007C416E" w:rsidRDefault="007C416E" w:rsidP="007C416E">
      <w:pPr>
        <w:pStyle w:val="Paragraphedeliste"/>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r w:rsidRPr="007C416E">
        <w:rPr>
          <w:rFonts w:ascii="Arial" w:eastAsia="ArialUnicodeMS" w:hAnsi="Arial" w:cs="Arial"/>
          <w:b/>
          <w:color w:val="000000"/>
          <w:lang w:val="en-US" w:eastAsia="en-US"/>
        </w:rPr>
        <w:t>Eligibility</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Minimum Age: 18 Years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Maximum Age: 65 Years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Gender: Both</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b/>
          <w:color w:val="000000"/>
          <w:lang w:val="en-US" w:eastAsia="en-US"/>
        </w:rPr>
        <w:t>Inclusion Criteria</w:t>
      </w:r>
      <w:r w:rsidRPr="007C416E">
        <w:rPr>
          <w:rFonts w:ascii="Arial" w:eastAsia="ArialUnicodeMS" w:hAnsi="Arial" w:cs="Arial"/>
          <w:color w:val="000000"/>
          <w:lang w:val="en-US" w:eastAsia="en-US"/>
        </w:rPr>
        <w: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Multi</w:t>
      </w:r>
      <w:r w:rsidRPr="007C416E">
        <w:rPr>
          <w:rFonts w:ascii="Arial" w:eastAsia="ArialUnicodeMS" w:hAnsi="Arial" w:cs="Arial"/>
          <w:color w:val="000000"/>
          <w:lang w:val="en-US" w:eastAsia="en-US"/>
        </w:rPr>
        <w:t>ple sclerosis (MS) subjects (Mc</w:t>
      </w:r>
      <w:r w:rsidRPr="007C416E">
        <w:rPr>
          <w:rFonts w:ascii="Arial" w:eastAsia="ArialUnicodeMS" w:hAnsi="Arial" w:cs="Arial"/>
          <w:color w:val="000000"/>
          <w:lang w:val="en-US" w:eastAsia="en-US"/>
        </w:rPr>
        <w:t>Donald et al criteria),</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Aged 18 to 65</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 Diagnosis of secondary progressive MS </w:t>
      </w:r>
      <w:proofErr w:type="gramStart"/>
      <w:r w:rsidRPr="007C416E">
        <w:rPr>
          <w:rFonts w:ascii="Arial" w:eastAsia="ArialUnicodeMS" w:hAnsi="Arial" w:cs="Arial"/>
          <w:color w:val="000000"/>
          <w:lang w:val="en-US" w:eastAsia="en-US"/>
        </w:rPr>
        <w:t>( Lublin</w:t>
      </w:r>
      <w:proofErr w:type="gramEnd"/>
      <w:r w:rsidRPr="007C416E">
        <w:rPr>
          <w:rFonts w:ascii="Arial" w:eastAsia="ArialUnicodeMS" w:hAnsi="Arial" w:cs="Arial"/>
          <w:color w:val="000000"/>
          <w:lang w:val="en-US" w:eastAsia="en-US"/>
        </w:rPr>
        <w:t xml:space="preserve"> and </w:t>
      </w:r>
      <w:proofErr w:type="spellStart"/>
      <w:r w:rsidRPr="007C416E">
        <w:rPr>
          <w:rFonts w:ascii="Arial" w:eastAsia="ArialUnicodeMS" w:hAnsi="Arial" w:cs="Arial"/>
          <w:color w:val="000000"/>
          <w:lang w:val="en-US" w:eastAsia="en-US"/>
        </w:rPr>
        <w:t>Reingold</w:t>
      </w:r>
      <w:proofErr w:type="spellEnd"/>
      <w:r w:rsidRPr="007C416E">
        <w:rPr>
          <w:rFonts w:ascii="Arial" w:eastAsia="ArialUnicodeMS" w:hAnsi="Arial" w:cs="Arial"/>
          <w:color w:val="000000"/>
          <w:lang w:val="en-US" w:eastAsia="en-US"/>
        </w:rPr>
        <w:t xml:space="preserve"> criteria)</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Progressive deterioration phase of at least 6 months and less than 4 years.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Reduction of walking capacity and increase EDSS not ascribed to consequence of</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relapses (at least 0.5 point) in the last 12 months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lastRenderedPageBreak/>
        <w:t>• EDSS between 4.0 and 6.5 included</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Female participating must use contraceptives while on study drug</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Written informed consent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Patient protected by French social security system</w:t>
      </w: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r w:rsidRPr="007C416E">
        <w:rPr>
          <w:rFonts w:ascii="Arial" w:eastAsia="ArialUnicodeMS" w:hAnsi="Arial" w:cs="Arial"/>
          <w:b/>
          <w:color w:val="000000"/>
          <w:lang w:val="en-US" w:eastAsia="en-US"/>
        </w:rPr>
        <w:t>Exclusion Criteria:</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Others diseases interfering with MS or treatment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Recent history (within the previous 2 years) of drug or alcohol abuse.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Patients with psychiatric illnesses who are unable to provide written, informed</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consent prior to any testing under this protocol</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Hemorrhagic cystitis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Pregnant or lactating women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Known allergy at cyclophosphamide, corticoids and in particular</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methylprednisolone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Persistent infectious diseases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Patients with bladder permanent catheterization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Known history of cardiac arrhythmia after methylprednisolone intravenous</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treatment</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Abnormal screening/baseline blood tests exceeding any of the limits defined</w:t>
      </w:r>
      <w:r w:rsidRPr="007C416E">
        <w:rPr>
          <w:rFonts w:ascii="Arial" w:eastAsia="ArialUnicodeMS" w:hAnsi="Arial" w:cs="Arial"/>
          <w:color w:val="000000"/>
          <w:lang w:val="en-US" w:eastAsia="en-US"/>
        </w:rPr>
        <w:t xml:space="preserve"> </w:t>
      </w:r>
      <w:proofErr w:type="gramStart"/>
      <w:r w:rsidRPr="007C416E">
        <w:rPr>
          <w:rFonts w:ascii="Arial" w:eastAsia="ArialUnicodeMS" w:hAnsi="Arial" w:cs="Arial"/>
          <w:color w:val="000000"/>
          <w:lang w:val="en-US" w:eastAsia="en-US"/>
        </w:rPr>
        <w:t>below :</w:t>
      </w:r>
      <w:proofErr w:type="gramEnd"/>
      <w:r w:rsidRPr="007C416E">
        <w:rPr>
          <w:rFonts w:ascii="Arial" w:eastAsia="ArialUnicodeMS" w:hAnsi="Arial" w:cs="Arial"/>
          <w:color w:val="000000"/>
          <w:lang w:val="en-US" w:eastAsia="en-US"/>
        </w:rPr>
        <w:t xml:space="preserve"> </w:t>
      </w:r>
      <w:proofErr w:type="spellStart"/>
      <w:r w:rsidRPr="007C416E">
        <w:rPr>
          <w:rFonts w:ascii="Arial" w:eastAsia="ArialUnicodeMS" w:hAnsi="Arial" w:cs="Arial"/>
          <w:color w:val="000000"/>
          <w:lang w:val="en-US" w:eastAsia="en-US"/>
        </w:rPr>
        <w:t>Hb</w:t>
      </w:r>
      <w:proofErr w:type="spellEnd"/>
      <w:r w:rsidRPr="007C416E">
        <w:rPr>
          <w:rFonts w:ascii="Arial" w:eastAsia="ArialUnicodeMS" w:hAnsi="Arial" w:cs="Arial"/>
          <w:color w:val="000000"/>
          <w:lang w:val="en-US" w:eastAsia="en-US"/>
        </w:rPr>
        <w:t xml:space="preserve"> &lt; 9g/dl or Total white blood cell count less than 3 000/mm3 or</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lymphocytes count less than 900/ mm3 or Platelet count less than 125 000/mm3</w:t>
      </w:r>
      <w:r w:rsidRPr="007C416E">
        <w:rPr>
          <w:rFonts w:ascii="Arial" w:eastAsia="ArialUnicodeMS" w:hAnsi="Arial" w:cs="Arial"/>
          <w:color w:val="000000"/>
          <w:lang w:val="en-US" w:eastAsia="en-US"/>
        </w:rPr>
        <w:t xml:space="preserve"> </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Gastric or duodenal ulcer in evolution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Gut diverticulosis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Diabetes mellitus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Known history of active hepatitis (ASAT &gt;3 X ULN)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Known history of renal failure (</w:t>
      </w:r>
      <w:proofErr w:type="spellStart"/>
      <w:r w:rsidRPr="007C416E">
        <w:rPr>
          <w:rFonts w:ascii="Arial" w:eastAsia="ArialUnicodeMS" w:hAnsi="Arial" w:cs="Arial"/>
          <w:color w:val="000000"/>
          <w:lang w:val="en-US" w:eastAsia="en-US"/>
        </w:rPr>
        <w:t>creatinine</w:t>
      </w:r>
      <w:proofErr w:type="spellEnd"/>
      <w:r w:rsidRPr="007C416E">
        <w:rPr>
          <w:rFonts w:ascii="Arial" w:eastAsia="ArialUnicodeMS" w:hAnsi="Arial" w:cs="Arial"/>
          <w:color w:val="000000"/>
          <w:lang w:val="en-US" w:eastAsia="en-US"/>
        </w:rPr>
        <w:t xml:space="preserve"> level &gt; 180 </w:t>
      </w:r>
      <w:proofErr w:type="spellStart"/>
      <w:r w:rsidRPr="007C416E">
        <w:rPr>
          <w:rFonts w:ascii="Arial" w:eastAsia="ArialUnicodeMS" w:hAnsi="Arial" w:cs="Arial"/>
          <w:color w:val="000000"/>
          <w:lang w:eastAsia="en-US"/>
        </w:rPr>
        <w:t>μ</w:t>
      </w:r>
      <w:r w:rsidRPr="007C416E">
        <w:rPr>
          <w:rFonts w:ascii="Arial" w:eastAsia="ArialUnicodeMS" w:hAnsi="Arial" w:cs="Arial"/>
          <w:color w:val="000000"/>
          <w:lang w:val="en-US" w:eastAsia="en-US"/>
        </w:rPr>
        <w:t>mol</w:t>
      </w:r>
      <w:proofErr w:type="spellEnd"/>
      <w:r w:rsidRPr="007C416E">
        <w:rPr>
          <w:rFonts w:ascii="Arial" w:eastAsia="ArialUnicodeMS" w:hAnsi="Arial" w:cs="Arial"/>
          <w:color w:val="000000"/>
          <w:lang w:val="en-US" w:eastAsia="en-US"/>
        </w:rPr>
        <w:t>/L)</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Psychosis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Current or past (&lt; 3 months) participation in another drug trial</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lastRenderedPageBreak/>
        <w:t>• Prior use of cyclophosphamide, lymphoid irradiation, monoclonal antibodies anti</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CD4 or anti CD52 or anti-VLA-4 therapies, </w:t>
      </w:r>
      <w:proofErr w:type="spellStart"/>
      <w:r w:rsidRPr="007C416E">
        <w:rPr>
          <w:rFonts w:ascii="Arial" w:eastAsia="ArialUnicodeMS" w:hAnsi="Arial" w:cs="Arial"/>
          <w:color w:val="000000"/>
          <w:lang w:val="en-US" w:eastAsia="en-US"/>
        </w:rPr>
        <w:t>cladribine</w:t>
      </w:r>
      <w:proofErr w:type="spellEnd"/>
      <w:r w:rsidRPr="007C416E">
        <w:rPr>
          <w:rFonts w:ascii="Arial" w:eastAsia="ArialUnicodeMS" w:hAnsi="Arial" w:cs="Arial"/>
          <w:color w:val="000000"/>
          <w:lang w:val="en-US" w:eastAsia="en-US"/>
        </w:rPr>
        <w:t xml:space="preserve"> </w:t>
      </w:r>
      <w:proofErr w:type="spellStart"/>
      <w:r w:rsidRPr="007C416E">
        <w:rPr>
          <w:rFonts w:ascii="Arial" w:eastAsia="ArialUnicodeMS" w:hAnsi="Arial" w:cs="Arial"/>
          <w:color w:val="000000"/>
          <w:lang w:val="en-US" w:eastAsia="en-US"/>
        </w:rPr>
        <w:t>ou</w:t>
      </w:r>
      <w:proofErr w:type="spellEnd"/>
      <w:r w:rsidRPr="007C416E">
        <w:rPr>
          <w:rFonts w:ascii="Arial" w:eastAsia="ArialUnicodeMS" w:hAnsi="Arial" w:cs="Arial"/>
          <w:color w:val="000000"/>
          <w:lang w:val="en-US" w:eastAsia="en-US"/>
        </w:rPr>
        <w:t xml:space="preserve"> cyclosporine A</w:t>
      </w:r>
      <w:r w:rsidRPr="007C416E">
        <w:rPr>
          <w:rFonts w:ascii="Arial" w:eastAsia="ArialUnicodeMS" w:hAnsi="Arial" w:cs="Arial"/>
          <w:color w:val="000000"/>
          <w:lang w:val="en-US" w:eastAsia="en-US"/>
        </w:rPr>
        <w:t xml:space="preserve"> </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 Other clinical types of </w:t>
      </w:r>
      <w:proofErr w:type="gramStart"/>
      <w:r w:rsidRPr="007C416E">
        <w:rPr>
          <w:rFonts w:ascii="Arial" w:eastAsia="ArialUnicodeMS" w:hAnsi="Arial" w:cs="Arial"/>
          <w:color w:val="000000"/>
          <w:lang w:val="en-US" w:eastAsia="en-US"/>
        </w:rPr>
        <w:t>MS :</w:t>
      </w:r>
      <w:proofErr w:type="gramEnd"/>
      <w:r w:rsidRPr="007C416E">
        <w:rPr>
          <w:rFonts w:ascii="Arial" w:eastAsia="ArialUnicodeMS" w:hAnsi="Arial" w:cs="Arial"/>
          <w:color w:val="000000"/>
          <w:lang w:val="en-US" w:eastAsia="en-US"/>
        </w:rPr>
        <w:t xml:space="preserve"> Secondary progressive phase evolving for more than</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4 years ; Remittent type of MS without progression between relapses ; Primary</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progressive type of MS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 Use of interferon beta, methotrexate or </w:t>
      </w:r>
      <w:proofErr w:type="spellStart"/>
      <w:r w:rsidRPr="007C416E">
        <w:rPr>
          <w:rFonts w:ascii="Arial" w:eastAsia="ArialUnicodeMS" w:hAnsi="Arial" w:cs="Arial"/>
          <w:color w:val="000000"/>
          <w:lang w:val="en-US" w:eastAsia="en-US"/>
        </w:rPr>
        <w:t>imurel</w:t>
      </w:r>
      <w:proofErr w:type="spellEnd"/>
      <w:r w:rsidRPr="007C416E">
        <w:rPr>
          <w:rFonts w:ascii="Arial" w:eastAsia="ArialUnicodeMS" w:hAnsi="Arial" w:cs="Arial"/>
          <w:color w:val="000000"/>
          <w:lang w:val="en-US" w:eastAsia="en-US"/>
        </w:rPr>
        <w:t xml:space="preserve"> in the month prior to study.</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Treatment with intravenous monthly corticoids in the year prior to study.</w:t>
      </w:r>
    </w:p>
    <w:p w:rsidR="007C416E" w:rsidRPr="007C416E" w:rsidRDefault="007C416E" w:rsidP="007C416E">
      <w:pPr>
        <w:autoSpaceDE w:val="0"/>
        <w:autoSpaceDN w:val="0"/>
        <w:adjustRightInd w:val="0"/>
        <w:spacing w:line="480" w:lineRule="auto"/>
        <w:rPr>
          <w:rFonts w:ascii="Arial" w:eastAsiaTheme="minorHAnsi" w:hAnsi="Arial" w:cs="Arial"/>
          <w:color w:val="000000"/>
          <w:lang w:val="en-US" w:eastAsia="en-US"/>
        </w:rPr>
      </w:pPr>
      <w:r w:rsidRPr="007C416E">
        <w:rPr>
          <w:rFonts w:ascii="Arial" w:eastAsia="ArialUnicodeMS" w:hAnsi="Arial" w:cs="Arial"/>
          <w:color w:val="000000"/>
          <w:lang w:val="en-US" w:eastAsia="en-US"/>
        </w:rPr>
        <w:t>• Treatment with corticoids (3 to 5 days) in the 2 month prior to study.</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p>
    <w:p w:rsidR="007C416E" w:rsidRPr="007C416E" w:rsidRDefault="007C416E" w:rsidP="007C416E">
      <w:pPr>
        <w:autoSpaceDE w:val="0"/>
        <w:autoSpaceDN w:val="0"/>
        <w:adjustRightInd w:val="0"/>
        <w:spacing w:line="480" w:lineRule="auto"/>
        <w:rPr>
          <w:rFonts w:ascii="Arial" w:eastAsia="ArialUnicodeMS" w:hAnsi="Arial" w:cs="Arial"/>
          <w:b/>
          <w:color w:val="000000"/>
          <w:lang w:val="en-US" w:eastAsia="en-US"/>
        </w:rPr>
      </w:pPr>
      <w:r w:rsidRPr="007C416E">
        <w:rPr>
          <w:rFonts w:ascii="Arial" w:eastAsia="ArialUnicodeMS" w:hAnsi="Arial" w:cs="Arial"/>
          <w:b/>
          <w:color w:val="000000"/>
          <w:lang w:val="en-US" w:eastAsia="en-US"/>
        </w:rPr>
        <w:t>Contacts/Locations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Study Officials: </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Bruno </w:t>
      </w:r>
      <w:proofErr w:type="spellStart"/>
      <w:r w:rsidRPr="007C416E">
        <w:rPr>
          <w:rFonts w:ascii="Arial" w:eastAsia="ArialUnicodeMS" w:hAnsi="Arial" w:cs="Arial"/>
          <w:color w:val="000000"/>
          <w:lang w:val="en-US" w:eastAsia="en-US"/>
        </w:rPr>
        <w:t>Brochet</w:t>
      </w:r>
      <w:proofErr w:type="spellEnd"/>
      <w:r w:rsidRPr="007C416E">
        <w:rPr>
          <w:rFonts w:ascii="Arial" w:eastAsia="ArialUnicodeMS" w:hAnsi="Arial" w:cs="Arial"/>
          <w:color w:val="000000"/>
          <w:lang w:val="en-US" w:eastAsia="en-US"/>
        </w:rPr>
        <w:t>, Professor</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Study Principal Investigator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University Hospital, Bordeaux, France</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Paul Perez, Dr</w:t>
      </w:r>
      <w:r w:rsidRPr="007C416E">
        <w:rPr>
          <w:rFonts w:ascii="Arial" w:eastAsia="ArialUnicodeMS" w:hAnsi="Arial" w:cs="Arial"/>
          <w:color w:val="000000"/>
          <w:lang w:val="en-US" w:eastAsia="en-US"/>
        </w:rPr>
        <w:t xml:space="preserve">, </w:t>
      </w:r>
      <w:r w:rsidRPr="007C416E">
        <w:rPr>
          <w:rFonts w:ascii="Arial" w:eastAsia="ArialUnicodeMS" w:hAnsi="Arial" w:cs="Arial"/>
          <w:color w:val="000000"/>
          <w:lang w:val="en-US" w:eastAsia="en-US"/>
        </w:rPr>
        <w:t>Study Chair</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University Hospital, Bordeaux, France</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Locations: France</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Hôpital Pellegrin, Département de neurologie</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Bordeaux, France, 33076</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CH d'Angoulême </w:t>
      </w:r>
      <w:proofErr w:type="spellStart"/>
      <w:r w:rsidRPr="007C416E">
        <w:rPr>
          <w:rFonts w:ascii="Arial" w:eastAsia="ArialUnicodeMS" w:hAnsi="Arial" w:cs="Arial"/>
          <w:color w:val="000000"/>
          <w:lang w:eastAsia="en-US"/>
        </w:rPr>
        <w:t>Girac</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Saint Michel, France, 16470</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CH de la </w:t>
      </w:r>
      <w:proofErr w:type="spellStart"/>
      <w:r w:rsidRPr="007C416E">
        <w:rPr>
          <w:rFonts w:ascii="Arial" w:eastAsia="ArialUnicodeMS" w:hAnsi="Arial" w:cs="Arial"/>
          <w:color w:val="000000"/>
          <w:lang w:eastAsia="en-US"/>
        </w:rPr>
        <w:t>Cote</w:t>
      </w:r>
      <w:proofErr w:type="spellEnd"/>
      <w:r w:rsidRPr="007C416E">
        <w:rPr>
          <w:rFonts w:ascii="Arial" w:eastAsia="ArialUnicodeMS" w:hAnsi="Arial" w:cs="Arial"/>
          <w:color w:val="000000"/>
          <w:lang w:eastAsia="en-US"/>
        </w:rPr>
        <w:t xml:space="preserve"> Basque</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Bayonne, France, 64109</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Besançon</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Besançon, France, 25030</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Caen</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lastRenderedPageBreak/>
        <w:t>Caen, France, 14033</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proofErr w:type="spellStart"/>
      <w:r w:rsidRPr="007C416E">
        <w:rPr>
          <w:rFonts w:ascii="Arial" w:eastAsia="ArialUnicodeMS" w:hAnsi="Arial" w:cs="Arial"/>
          <w:color w:val="000000"/>
          <w:lang w:val="en-US" w:eastAsia="en-US"/>
        </w:rPr>
        <w:t>Hôpital</w:t>
      </w:r>
      <w:proofErr w:type="spellEnd"/>
      <w:r w:rsidRPr="007C416E">
        <w:rPr>
          <w:rFonts w:ascii="Arial" w:eastAsia="ArialUnicodeMS" w:hAnsi="Arial" w:cs="Arial"/>
          <w:color w:val="000000"/>
          <w:lang w:val="en-US" w:eastAsia="en-US"/>
        </w:rPr>
        <w:t xml:space="preserve"> Gabriel </w:t>
      </w:r>
      <w:proofErr w:type="spellStart"/>
      <w:r w:rsidRPr="007C416E">
        <w:rPr>
          <w:rFonts w:ascii="Arial" w:eastAsia="ArialUnicodeMS" w:hAnsi="Arial" w:cs="Arial"/>
          <w:color w:val="000000"/>
          <w:lang w:val="en-US" w:eastAsia="en-US"/>
        </w:rPr>
        <w:t>Montpied</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 xml:space="preserve">Clermont </w:t>
      </w:r>
      <w:proofErr w:type="spellStart"/>
      <w:r w:rsidRPr="007C416E">
        <w:rPr>
          <w:rFonts w:ascii="Arial" w:eastAsia="ArialUnicodeMS" w:hAnsi="Arial" w:cs="Arial"/>
          <w:color w:val="000000"/>
          <w:lang w:val="en-US" w:eastAsia="en-US"/>
        </w:rPr>
        <w:t>Ferrand</w:t>
      </w:r>
      <w:proofErr w:type="spellEnd"/>
      <w:r w:rsidRPr="007C416E">
        <w:rPr>
          <w:rFonts w:ascii="Arial" w:eastAsia="ArialUnicodeMS" w:hAnsi="Arial" w:cs="Arial"/>
          <w:color w:val="000000"/>
          <w:lang w:val="en-US" w:eastAsia="en-US"/>
        </w:rPr>
        <w:t>, France, 63003</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AP HP Henri Mondor</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Créteil, France, 94010</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Dijon</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Dijon, France, 21033</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Lille Hôpital Salengro</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Lille, France, 59037</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GHICL Hôpital St. Philibert</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Lomme, France, 59462</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Limoges</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Limoges, France, 87042</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Lyon) Hôpital neurologique</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Lyon, France, 69394</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Hôpital La </w:t>
      </w:r>
      <w:proofErr w:type="spellStart"/>
      <w:r w:rsidRPr="007C416E">
        <w:rPr>
          <w:rFonts w:ascii="Arial" w:eastAsia="ArialUnicodeMS" w:hAnsi="Arial" w:cs="Arial"/>
          <w:color w:val="000000"/>
          <w:lang w:eastAsia="en-US"/>
        </w:rPr>
        <w:t>Timone</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Marseille, France, 13385</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Nancy Hôpital central</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Nancy, France, 54035</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Nice Hôpital Pasteur</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Nice, France, 06002</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(CHU Nîmes) Hôpital </w:t>
      </w:r>
      <w:proofErr w:type="spellStart"/>
      <w:r w:rsidRPr="007C416E">
        <w:rPr>
          <w:rFonts w:ascii="Arial" w:eastAsia="ArialUnicodeMS" w:hAnsi="Arial" w:cs="Arial"/>
          <w:color w:val="000000"/>
          <w:lang w:eastAsia="en-US"/>
        </w:rPr>
        <w:t>Caremeau</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Nîmes, France, 30029</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Centre Hospitalier de Pau</w:t>
      </w:r>
    </w:p>
    <w:p w:rsidR="007C416E" w:rsidRPr="007C416E" w:rsidRDefault="007C416E" w:rsidP="007C416E">
      <w:pPr>
        <w:autoSpaceDE w:val="0"/>
        <w:autoSpaceDN w:val="0"/>
        <w:adjustRightInd w:val="0"/>
        <w:spacing w:line="480" w:lineRule="auto"/>
        <w:rPr>
          <w:rFonts w:ascii="Arial" w:eastAsiaTheme="minorHAnsi" w:hAnsi="Arial" w:cs="Arial"/>
          <w:color w:val="000000"/>
          <w:lang w:eastAsia="en-US"/>
        </w:rPr>
      </w:pPr>
      <w:r w:rsidRPr="007C416E">
        <w:rPr>
          <w:rFonts w:ascii="Arial" w:eastAsiaTheme="minorHAnsi" w:hAnsi="Arial" w:cs="Arial"/>
          <w:color w:val="000000"/>
          <w:lang w:eastAsia="en-US"/>
        </w:rPr>
        <w:t>- Page 6 of 6 -</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lastRenderedPageBreak/>
        <w:t>Pau, France, 64046</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Reims) Hôpital Robert Debré</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Reims, France, 51092</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CHU </w:t>
      </w:r>
      <w:proofErr w:type="spellStart"/>
      <w:r w:rsidRPr="007C416E">
        <w:rPr>
          <w:rFonts w:ascii="Arial" w:eastAsia="ArialUnicodeMS" w:hAnsi="Arial" w:cs="Arial"/>
          <w:color w:val="000000"/>
          <w:lang w:eastAsia="en-US"/>
        </w:rPr>
        <w:t>Ponchaillou</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Rennes, France, 35033</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Fondation Rothschild</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Paris, France, 75019</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(AP HP) Hôpital Tenon</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Paris, France, 75970</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(CHRU </w:t>
      </w:r>
      <w:proofErr w:type="spellStart"/>
      <w:r w:rsidRPr="007C416E">
        <w:rPr>
          <w:rFonts w:ascii="Arial" w:eastAsia="ArialUnicodeMS" w:hAnsi="Arial" w:cs="Arial"/>
          <w:color w:val="000000"/>
          <w:lang w:eastAsia="en-US"/>
        </w:rPr>
        <w:t>Starsbourg</w:t>
      </w:r>
      <w:proofErr w:type="spellEnd"/>
      <w:r w:rsidRPr="007C416E">
        <w:rPr>
          <w:rFonts w:ascii="Arial" w:eastAsia="ArialUnicodeMS" w:hAnsi="Arial" w:cs="Arial"/>
          <w:color w:val="000000"/>
          <w:lang w:eastAsia="en-US"/>
        </w:rPr>
        <w:t>) Hôpital civil</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Strasbourg, France, 67091</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(CHR Metz-Thionville) Hôpital Notre Dame de Bon Secours</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Metz, France, 57038</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(CHU Montpellier), Hôpital de Gui de </w:t>
      </w:r>
      <w:proofErr w:type="spellStart"/>
      <w:r w:rsidRPr="007C416E">
        <w:rPr>
          <w:rFonts w:ascii="Arial" w:eastAsia="ArialUnicodeMS" w:hAnsi="Arial" w:cs="Arial"/>
          <w:color w:val="000000"/>
          <w:lang w:eastAsia="en-US"/>
        </w:rPr>
        <w:t>Chauliac</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Montpellier, France, 34295</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CHU de POISSY</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Poissy, France, 78300</w:t>
      </w:r>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 xml:space="preserve">Hôpital Guillaume et René </w:t>
      </w:r>
      <w:proofErr w:type="spellStart"/>
      <w:r w:rsidRPr="007C416E">
        <w:rPr>
          <w:rFonts w:ascii="Arial" w:eastAsia="ArialUnicodeMS" w:hAnsi="Arial" w:cs="Arial"/>
          <w:color w:val="000000"/>
          <w:lang w:eastAsia="en-US"/>
        </w:rPr>
        <w:t>Laënnec</w:t>
      </w:r>
      <w:proofErr w:type="spellEnd"/>
    </w:p>
    <w:p w:rsidR="007C416E" w:rsidRPr="007C416E" w:rsidRDefault="007C416E" w:rsidP="007C416E">
      <w:pPr>
        <w:autoSpaceDE w:val="0"/>
        <w:autoSpaceDN w:val="0"/>
        <w:adjustRightInd w:val="0"/>
        <w:spacing w:line="480" w:lineRule="auto"/>
        <w:rPr>
          <w:rFonts w:ascii="Arial" w:eastAsia="ArialUnicodeMS" w:hAnsi="Arial" w:cs="Arial"/>
          <w:color w:val="000000"/>
          <w:lang w:eastAsia="en-US"/>
        </w:rPr>
      </w:pPr>
      <w:r w:rsidRPr="007C416E">
        <w:rPr>
          <w:rFonts w:ascii="Arial" w:eastAsia="ArialUnicodeMS" w:hAnsi="Arial" w:cs="Arial"/>
          <w:color w:val="000000"/>
          <w:lang w:eastAsia="en-US"/>
        </w:rPr>
        <w:t>Nantes, France, 44093</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References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Citations: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Links:</w:t>
      </w:r>
    </w:p>
    <w:p w:rsidR="007C416E" w:rsidRPr="007C416E" w:rsidRDefault="007C416E" w:rsidP="007C416E">
      <w:pPr>
        <w:autoSpaceDE w:val="0"/>
        <w:autoSpaceDN w:val="0"/>
        <w:adjustRightInd w:val="0"/>
        <w:spacing w:line="480" w:lineRule="auto"/>
        <w:rPr>
          <w:rFonts w:ascii="Arial" w:eastAsia="ArialUnicodeMS" w:hAnsi="Arial" w:cs="Arial"/>
          <w:color w:val="000000"/>
          <w:lang w:val="en-US" w:eastAsia="en-US"/>
        </w:rPr>
      </w:pPr>
      <w:r w:rsidRPr="007C416E">
        <w:rPr>
          <w:rFonts w:ascii="Arial" w:eastAsia="ArialUnicodeMS" w:hAnsi="Arial" w:cs="Arial"/>
          <w:color w:val="000000"/>
          <w:lang w:val="en-US" w:eastAsia="en-US"/>
        </w:rPr>
        <w:t>Study Data/Documents:</w:t>
      </w:r>
    </w:p>
    <w:p w:rsidR="007C416E" w:rsidRPr="007C416E" w:rsidRDefault="007C416E" w:rsidP="007C416E">
      <w:pPr>
        <w:spacing w:line="480" w:lineRule="auto"/>
        <w:rPr>
          <w:rFonts w:ascii="Arial" w:hAnsi="Arial" w:cs="Arial"/>
          <w:snapToGrid w:val="0"/>
          <w:lang w:val="en-GB"/>
        </w:rPr>
      </w:pPr>
    </w:p>
    <w:p w:rsidR="00583C08" w:rsidRDefault="00583C08">
      <w:pPr>
        <w:spacing w:after="200" w:line="276" w:lineRule="auto"/>
        <w:rPr>
          <w:rFonts w:ascii="Arial" w:hAnsi="Arial" w:cs="Arial"/>
          <w:b/>
          <w:snapToGrid w:val="0"/>
          <w:u w:val="single"/>
          <w:lang w:val="en-GB"/>
        </w:rPr>
      </w:pPr>
      <w:r>
        <w:rPr>
          <w:rFonts w:ascii="Arial" w:hAnsi="Arial" w:cs="Arial"/>
          <w:b/>
          <w:snapToGrid w:val="0"/>
          <w:u w:val="single"/>
          <w:lang w:val="en-GB"/>
        </w:rPr>
        <w:br w:type="page"/>
      </w:r>
    </w:p>
    <w:p w:rsidR="007C416E" w:rsidRPr="007C416E" w:rsidRDefault="007C416E" w:rsidP="007C416E">
      <w:pPr>
        <w:spacing w:line="480" w:lineRule="auto"/>
        <w:jc w:val="center"/>
        <w:rPr>
          <w:rFonts w:ascii="Arial" w:hAnsi="Arial" w:cs="Arial"/>
          <w:b/>
          <w:snapToGrid w:val="0"/>
          <w:u w:val="single"/>
          <w:lang w:val="en-GB"/>
        </w:rPr>
      </w:pPr>
      <w:r w:rsidRPr="007C416E">
        <w:rPr>
          <w:rFonts w:ascii="Arial" w:hAnsi="Arial" w:cs="Arial"/>
          <w:b/>
          <w:snapToGrid w:val="0"/>
          <w:u w:val="single"/>
          <w:lang w:val="en-GB"/>
        </w:rPr>
        <w:lastRenderedPageBreak/>
        <w:t>SUM</w:t>
      </w:r>
      <w:r w:rsidRPr="007C416E">
        <w:rPr>
          <w:rFonts w:ascii="Arial" w:hAnsi="Arial" w:cs="Arial"/>
          <w:b/>
          <w:snapToGrid w:val="0"/>
          <w:u w:val="single"/>
          <w:lang w:val="en-GB"/>
        </w:rPr>
        <w:t xml:space="preserve">MARY OF </w:t>
      </w:r>
      <w:proofErr w:type="gramStart"/>
      <w:r w:rsidRPr="007C416E">
        <w:rPr>
          <w:rFonts w:ascii="Arial" w:hAnsi="Arial" w:cs="Arial"/>
          <w:b/>
          <w:snapToGrid w:val="0"/>
          <w:u w:val="single"/>
          <w:lang w:val="en-GB"/>
        </w:rPr>
        <w:t>CHANGES :</w:t>
      </w:r>
      <w:proofErr w:type="gramEnd"/>
    </w:p>
    <w:p w:rsidR="007C416E" w:rsidRPr="007C416E" w:rsidRDefault="007C416E" w:rsidP="007C416E">
      <w:pPr>
        <w:spacing w:line="480" w:lineRule="auto"/>
        <w:rPr>
          <w:rFonts w:ascii="Arial" w:hAnsi="Arial" w:cs="Arial"/>
          <w:snapToGrid w:val="0"/>
          <w:lang w:val="en-GB"/>
        </w:rPr>
      </w:pPr>
    </w:p>
    <w:p w:rsidR="007C416E" w:rsidRPr="007C416E" w:rsidRDefault="007C416E" w:rsidP="007C416E">
      <w:pPr>
        <w:spacing w:line="480" w:lineRule="auto"/>
        <w:rPr>
          <w:rFonts w:ascii="Arial" w:hAnsi="Arial" w:cs="Arial"/>
          <w:snapToGrid w:val="0"/>
          <w:lang w:val="en-GB"/>
        </w:rPr>
      </w:pPr>
      <w:r w:rsidRPr="007C416E">
        <w:rPr>
          <w:rFonts w:ascii="Arial" w:hAnsi="Arial" w:cs="Arial"/>
          <w:snapToGrid w:val="0"/>
          <w:lang w:val="en-GB"/>
        </w:rPr>
        <w:t>Twelve amendments have been submitted and approved by the Ethic Committee (CPP), during the study between November 2005 (1st amendment) and November 2009 (12th amendment)</w:t>
      </w:r>
      <w:proofErr w:type="gramStart"/>
      <w:r>
        <w:rPr>
          <w:rFonts w:ascii="Arial" w:hAnsi="Arial" w:cs="Arial"/>
          <w:snapToGrid w:val="0"/>
          <w:lang w:val="en-GB"/>
        </w:rPr>
        <w:t>.</w:t>
      </w:r>
      <w:r w:rsidRPr="007C416E">
        <w:rPr>
          <w:rFonts w:ascii="Arial" w:hAnsi="Arial" w:cs="Arial"/>
          <w:snapToGrid w:val="0"/>
          <w:lang w:val="en-GB"/>
        </w:rPr>
        <w:t>.</w:t>
      </w:r>
      <w:proofErr w:type="gramEnd"/>
      <w:r w:rsidRPr="007C416E">
        <w:rPr>
          <w:rFonts w:ascii="Arial" w:hAnsi="Arial" w:cs="Arial"/>
          <w:snapToGrid w:val="0"/>
          <w:lang w:val="en-GB"/>
        </w:rPr>
        <w:t xml:space="preserve"> </w:t>
      </w:r>
    </w:p>
    <w:p w:rsidR="007C416E" w:rsidRPr="007C416E" w:rsidRDefault="007C416E" w:rsidP="007C416E">
      <w:pPr>
        <w:spacing w:line="480" w:lineRule="auto"/>
        <w:rPr>
          <w:rFonts w:ascii="Arial" w:hAnsi="Arial" w:cs="Arial"/>
          <w:snapToGrid w:val="0"/>
          <w:lang w:val="en-GB"/>
        </w:rPr>
      </w:pPr>
    </w:p>
    <w:p w:rsidR="007C416E" w:rsidRPr="007C416E" w:rsidRDefault="007C416E" w:rsidP="007C416E">
      <w:pPr>
        <w:spacing w:line="480" w:lineRule="auto"/>
        <w:rPr>
          <w:rFonts w:ascii="Arial" w:hAnsi="Arial" w:cs="Arial"/>
          <w:snapToGrid w:val="0"/>
          <w:lang w:val="en-GB"/>
        </w:rPr>
      </w:pPr>
      <w:r w:rsidRPr="007C416E">
        <w:rPr>
          <w:rFonts w:ascii="Arial" w:hAnsi="Arial" w:cs="Arial"/>
          <w:snapToGrid w:val="0"/>
          <w:lang w:val="en-GB"/>
        </w:rPr>
        <w:t>Changes in the name of clinical investigators and study personal have been submitted in amendments 1, 2, 3, 4, 6, 7, 8, 11 and 12.</w:t>
      </w:r>
    </w:p>
    <w:p w:rsidR="007C416E" w:rsidRPr="007C416E" w:rsidRDefault="007C416E" w:rsidP="007C416E">
      <w:pPr>
        <w:spacing w:line="480" w:lineRule="auto"/>
        <w:rPr>
          <w:rFonts w:ascii="Arial" w:hAnsi="Arial" w:cs="Arial"/>
          <w:snapToGrid w:val="0"/>
          <w:lang w:val="en-GB"/>
        </w:rPr>
      </w:pPr>
      <w:r w:rsidRPr="007C416E">
        <w:rPr>
          <w:rFonts w:ascii="Arial" w:hAnsi="Arial" w:cs="Arial"/>
          <w:snapToGrid w:val="0"/>
          <w:lang w:val="en-GB"/>
        </w:rPr>
        <w:t xml:space="preserve">Changes in procedures and organisation of the study without impact on the conduct of the study (for example change in committees, medication circuit etc...) have been submitted in amendments 1, 2, 3, 6 7, 9, </w:t>
      </w:r>
      <w:proofErr w:type="gramStart"/>
      <w:r w:rsidRPr="007C416E">
        <w:rPr>
          <w:rFonts w:ascii="Arial" w:hAnsi="Arial" w:cs="Arial"/>
          <w:snapToGrid w:val="0"/>
          <w:lang w:val="en-GB"/>
        </w:rPr>
        <w:t>10</w:t>
      </w:r>
      <w:proofErr w:type="gramEnd"/>
      <w:r w:rsidRPr="007C416E">
        <w:rPr>
          <w:rFonts w:ascii="Arial" w:hAnsi="Arial" w:cs="Arial"/>
          <w:snapToGrid w:val="0"/>
          <w:lang w:val="en-GB"/>
        </w:rPr>
        <w:t xml:space="preserve"> and11. </w:t>
      </w:r>
    </w:p>
    <w:p w:rsidR="007C416E" w:rsidRPr="007C416E" w:rsidRDefault="007C416E" w:rsidP="007C416E">
      <w:pPr>
        <w:spacing w:line="480" w:lineRule="auto"/>
        <w:rPr>
          <w:rFonts w:ascii="Arial" w:hAnsi="Arial" w:cs="Arial"/>
          <w:snapToGrid w:val="0"/>
          <w:lang w:val="en-GB"/>
        </w:rPr>
      </w:pPr>
      <w:r w:rsidRPr="007C416E">
        <w:rPr>
          <w:rFonts w:ascii="Arial" w:hAnsi="Arial" w:cs="Arial"/>
          <w:snapToGrid w:val="0"/>
          <w:lang w:val="en-GB"/>
        </w:rPr>
        <w:t>Significant changes in the protocol have been made in amendments 1, 2, 3, 4, 5, 10 and 12.</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t>Amendment 1 (November 2005) gave precision on the role of the prescribing physician.</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t>Amendment 2 (January 2006) indicated that a previous treatment with azathioprine in the month before randomisation is not allowed.</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t xml:space="preserve">Amendment 3 (April 2006) modified inclusion criteria: the maximum duration of the progressive phase before randomisation was change from 3 years to 4 years; Skin test for TB was recommended but no longer mandatory. </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t>Amendment 4 (April 2006) modified inclusion criteria: the maximum EDSS allowed at baseline was changed from 6.0 to 6.5. Inclusion of patients with only one exacerbation before the progressive stage (so-called “transitional progressive”) was allowed.</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lastRenderedPageBreak/>
        <w:t xml:space="preserve">Amendment 5 (October 2006) modified inclusion criteria: the maximum walking distance required at baseline was changed from 100 meters to 50 meters. </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t xml:space="preserve">Amendment 10 (February 2008) specified the conditions for </w:t>
      </w:r>
      <w:proofErr w:type="spellStart"/>
      <w:r w:rsidRPr="007C416E">
        <w:rPr>
          <w:rFonts w:ascii="Arial" w:hAnsi="Arial" w:cs="Arial"/>
          <w:snapToGrid w:val="0"/>
          <w:lang w:val="en-GB"/>
        </w:rPr>
        <w:t>unblinding</w:t>
      </w:r>
      <w:proofErr w:type="spellEnd"/>
      <w:r w:rsidRPr="007C416E">
        <w:rPr>
          <w:rFonts w:ascii="Arial" w:hAnsi="Arial" w:cs="Arial"/>
          <w:snapToGrid w:val="0"/>
          <w:lang w:val="en-GB"/>
        </w:rPr>
        <w:t xml:space="preserve"> after the end of the study. </w:t>
      </w:r>
    </w:p>
    <w:p w:rsidR="007C416E" w:rsidRPr="007C416E" w:rsidRDefault="007C416E" w:rsidP="007C416E">
      <w:pPr>
        <w:numPr>
          <w:ilvl w:val="0"/>
          <w:numId w:val="1"/>
        </w:numPr>
        <w:spacing w:line="480" w:lineRule="auto"/>
        <w:rPr>
          <w:rFonts w:ascii="Arial" w:hAnsi="Arial" w:cs="Arial"/>
          <w:snapToGrid w:val="0"/>
          <w:lang w:val="en-GB"/>
        </w:rPr>
      </w:pPr>
      <w:r w:rsidRPr="007C416E">
        <w:rPr>
          <w:rFonts w:ascii="Arial" w:hAnsi="Arial" w:cs="Arial"/>
          <w:snapToGrid w:val="0"/>
          <w:lang w:val="en-GB"/>
        </w:rPr>
        <w:t xml:space="preserve">Amendment 12 (October 2009) added a few exploratory end-points (walking distance, PASAT correct answers, EDSS AUC).  </w:t>
      </w:r>
    </w:p>
    <w:p w:rsidR="007C416E" w:rsidRPr="007C416E" w:rsidRDefault="007C416E" w:rsidP="007C416E">
      <w:pPr>
        <w:spacing w:line="480" w:lineRule="auto"/>
        <w:ind w:left="1065"/>
        <w:rPr>
          <w:rFonts w:ascii="Arial" w:hAnsi="Arial" w:cs="Arial"/>
          <w:snapToGrid w:val="0"/>
          <w:lang w:val="en-GB"/>
        </w:rPr>
      </w:pPr>
    </w:p>
    <w:p w:rsidR="00583C08" w:rsidRDefault="00583C08" w:rsidP="00583C08">
      <w:pPr>
        <w:pStyle w:val="Retraitcorpsdetexte2"/>
        <w:ind w:left="284" w:firstLine="0"/>
        <w:jc w:val="left"/>
        <w:rPr>
          <w:rFonts w:ascii="Arial" w:eastAsia="MS Mincho" w:hAnsi="Arial" w:cs="Arial"/>
          <w:snapToGrid w:val="0"/>
          <w:szCs w:val="24"/>
          <w:lang w:val="en-US" w:eastAsia="ja-JP"/>
        </w:rPr>
      </w:pPr>
    </w:p>
    <w:p w:rsidR="00583C08" w:rsidRPr="00583C08" w:rsidRDefault="007C416E" w:rsidP="00583C08">
      <w:pPr>
        <w:pStyle w:val="Retraitcorpsdetexte2"/>
        <w:ind w:left="284" w:firstLine="0"/>
        <w:jc w:val="left"/>
        <w:rPr>
          <w:rFonts w:ascii="Arial" w:eastAsia="MS Mincho" w:hAnsi="Arial" w:cs="Arial"/>
          <w:snapToGrid w:val="0"/>
          <w:szCs w:val="24"/>
          <w:lang w:val="en-US" w:eastAsia="ja-JP"/>
        </w:rPr>
      </w:pPr>
      <w:r w:rsidRPr="00583C08">
        <w:rPr>
          <w:rFonts w:ascii="Arial" w:eastAsia="MS Mincho" w:hAnsi="Arial" w:cs="Arial"/>
          <w:b/>
          <w:snapToGrid w:val="0"/>
          <w:szCs w:val="24"/>
          <w:lang w:val="en-US" w:eastAsia="ja-JP"/>
        </w:rPr>
        <w:t>S</w:t>
      </w:r>
      <w:r w:rsidRPr="00583C08">
        <w:rPr>
          <w:rFonts w:ascii="Arial" w:eastAsia="MS Mincho" w:hAnsi="Arial" w:cs="Arial"/>
          <w:b/>
          <w:snapToGrid w:val="0"/>
          <w:szCs w:val="24"/>
          <w:lang w:val="en-US" w:eastAsia="ja-JP"/>
        </w:rPr>
        <w:t xml:space="preserve">tatistical analysis plan, </w:t>
      </w:r>
      <w:r w:rsidRPr="00583C08">
        <w:rPr>
          <w:rFonts w:ascii="Arial" w:eastAsia="MS Mincho" w:hAnsi="Arial" w:cs="Arial"/>
          <w:b/>
          <w:snapToGrid w:val="0"/>
          <w:szCs w:val="24"/>
          <w:lang w:val="en-US" w:eastAsia="ja-JP"/>
        </w:rPr>
        <w:br/>
      </w:r>
      <w:r w:rsidRPr="00583C08">
        <w:rPr>
          <w:rFonts w:ascii="Arial" w:eastAsia="MS Mincho" w:hAnsi="Arial" w:cs="Arial"/>
          <w:snapToGrid w:val="0"/>
          <w:szCs w:val="24"/>
          <w:lang w:val="en-US" w:eastAsia="ja-JP"/>
        </w:rPr>
        <w:t>The original statistical analysis plan is the Statistical analysis se</w:t>
      </w:r>
      <w:r w:rsidR="00583C08" w:rsidRPr="00583C08">
        <w:rPr>
          <w:rFonts w:ascii="Arial" w:eastAsia="MS Mincho" w:hAnsi="Arial" w:cs="Arial"/>
          <w:snapToGrid w:val="0"/>
          <w:szCs w:val="24"/>
          <w:lang w:val="en-US" w:eastAsia="ja-JP"/>
        </w:rPr>
        <w:t>ction of the original protocol (translated</w:t>
      </w:r>
      <w:proofErr w:type="gramStart"/>
      <w:r w:rsidR="00583C08" w:rsidRPr="00583C08">
        <w:rPr>
          <w:rFonts w:ascii="Arial" w:eastAsia="MS Mincho" w:hAnsi="Arial" w:cs="Arial"/>
          <w:snapToGrid w:val="0"/>
          <w:szCs w:val="24"/>
          <w:lang w:val="en-US" w:eastAsia="ja-JP"/>
        </w:rPr>
        <w:t>)</w:t>
      </w:r>
      <w:proofErr w:type="gramEnd"/>
      <w:r w:rsidRPr="00583C08">
        <w:rPr>
          <w:rFonts w:ascii="Arial" w:eastAsia="MS Mincho" w:hAnsi="Arial" w:cs="Arial"/>
          <w:snapToGrid w:val="0"/>
          <w:szCs w:val="24"/>
          <w:lang w:val="en-US" w:eastAsia="ja-JP"/>
        </w:rPr>
        <w:br/>
      </w:r>
      <w:r w:rsidR="00583C08" w:rsidRPr="00583C08">
        <w:rPr>
          <w:rFonts w:ascii="Arial" w:eastAsia="MS Mincho" w:hAnsi="Arial" w:cs="Arial"/>
          <w:snapToGrid w:val="0"/>
          <w:szCs w:val="24"/>
          <w:u w:val="single"/>
          <w:lang w:val="en-US" w:eastAsia="ja-JP"/>
        </w:rPr>
        <w:t>Needed sample size</w:t>
      </w:r>
      <w:r w:rsidR="00583C08" w:rsidRPr="00583C08">
        <w:rPr>
          <w:rFonts w:ascii="Arial" w:eastAsia="MS Mincho" w:hAnsi="Arial" w:cs="Arial"/>
          <w:snapToGrid w:val="0"/>
          <w:szCs w:val="24"/>
          <w:lang w:val="en-US" w:eastAsia="ja-JP"/>
        </w:rPr>
        <w:t> :</w:t>
      </w:r>
      <w:r w:rsidR="00583C08" w:rsidRPr="00583C08">
        <w:rPr>
          <w:rFonts w:ascii="Arial" w:eastAsia="MS Mincho" w:hAnsi="Arial" w:cs="Arial"/>
          <w:snapToGrid w:val="0"/>
          <w:szCs w:val="24"/>
          <w:lang w:val="en-US" w:eastAsia="ja-JP"/>
        </w:rPr>
        <w:br/>
      </w:r>
      <w:r w:rsidR="00583C08" w:rsidRPr="00583C08">
        <w:rPr>
          <w:rFonts w:ascii="Arial" w:eastAsia="MS Mincho" w:hAnsi="Arial" w:cs="Arial"/>
          <w:snapToGrid w:val="0"/>
          <w:szCs w:val="24"/>
          <w:lang w:val="en-US" w:eastAsia="ja-JP"/>
        </w:rPr>
        <w:t xml:space="preserve">The primary outcome measure is the delay to disability deterioration as assessed by the Expanded Disability Status Scale (EDSS): 0.5 or 1 point increase, depending on baseline score: &gt;1 point when baseline EDSS was 4 or 4.5 and &gt;0.5 point </w:t>
      </w:r>
      <w:proofErr w:type="spellStart"/>
      <w:r w:rsidR="00583C08" w:rsidRPr="00583C08">
        <w:rPr>
          <w:rFonts w:ascii="Arial" w:eastAsia="MS Mincho" w:hAnsi="Arial" w:cs="Arial"/>
          <w:snapToGrid w:val="0"/>
          <w:szCs w:val="24"/>
          <w:lang w:val="en-US" w:eastAsia="ja-JP"/>
        </w:rPr>
        <w:t>whne</w:t>
      </w:r>
      <w:proofErr w:type="spellEnd"/>
      <w:r w:rsidR="00583C08" w:rsidRPr="00583C08">
        <w:rPr>
          <w:rFonts w:ascii="Arial" w:eastAsia="MS Mincho" w:hAnsi="Arial" w:cs="Arial"/>
          <w:snapToGrid w:val="0"/>
          <w:szCs w:val="24"/>
          <w:lang w:val="en-US" w:eastAsia="ja-JP"/>
        </w:rPr>
        <w:t xml:space="preserve"> baseline EDSS was 5, 5.5 or 6.0.</w:t>
      </w:r>
      <w:r w:rsidR="00583C08" w:rsidRPr="00583C08">
        <w:rPr>
          <w:rFonts w:ascii="Arial" w:eastAsia="MS Mincho" w:hAnsi="Arial" w:cs="Arial"/>
          <w:snapToGrid w:val="0"/>
          <w:szCs w:val="24"/>
          <w:lang w:val="en-US" w:eastAsia="ja-JP"/>
        </w:rPr>
        <w:br/>
        <w:t xml:space="preserve"> </w:t>
      </w:r>
      <w:r w:rsidR="00583C08" w:rsidRPr="00583C08">
        <w:rPr>
          <w:rFonts w:ascii="Arial" w:eastAsia="MS Mincho" w:hAnsi="Arial" w:cs="Arial"/>
          <w:snapToGrid w:val="0"/>
          <w:szCs w:val="24"/>
          <w:lang w:val="en-US" w:eastAsia="ja-JP"/>
        </w:rPr>
        <w:t>This deterioration has to be confirmed at the next visit at least 4 months after the first visit showing the deterioration or after 2 months if deterioration is observed at the final visit of the treatment period. The deterioration delay will be calculated by the difference between the first visit showing deterioration and the baseline treatment visit (first administration)</w:t>
      </w:r>
      <w:r w:rsidR="00583C08" w:rsidRPr="00583C08">
        <w:rPr>
          <w:rFonts w:ascii="Arial" w:eastAsia="MS Mincho" w:hAnsi="Arial" w:cs="Arial"/>
          <w:snapToGrid w:val="0"/>
          <w:szCs w:val="24"/>
          <w:lang w:val="en-US" w:eastAsia="ja-JP"/>
        </w:rPr>
        <w:t>.</w:t>
      </w:r>
      <w:r w:rsidR="00583C08" w:rsidRPr="00583C08">
        <w:rPr>
          <w:rFonts w:ascii="Arial" w:eastAsia="MS Mincho" w:hAnsi="Arial" w:cs="Arial"/>
          <w:snapToGrid w:val="0"/>
          <w:szCs w:val="24"/>
          <w:lang w:val="en-US" w:eastAsia="ja-JP"/>
        </w:rPr>
        <w:br/>
      </w:r>
      <w:r w:rsidR="00583C08" w:rsidRPr="00583C08">
        <w:rPr>
          <w:rFonts w:ascii="Arial" w:eastAsia="MS Mincho" w:hAnsi="Arial" w:cs="Arial"/>
          <w:snapToGrid w:val="0"/>
          <w:szCs w:val="24"/>
          <w:lang w:val="en-US" w:eastAsia="ja-JP"/>
        </w:rPr>
        <w:t xml:space="preserve">The sample size calculation has been made using the </w:t>
      </w:r>
      <w:r w:rsidR="00583C08" w:rsidRPr="00583C08">
        <w:rPr>
          <w:rFonts w:ascii="Arial" w:eastAsia="MS Mincho" w:hAnsi="Arial" w:cs="Arial"/>
          <w:snapToGrid w:val="0"/>
          <w:szCs w:val="24"/>
          <w:lang w:val="en-US" w:eastAsia="ja-JP"/>
        </w:rPr>
        <w:t>N-Query</w:t>
      </w:r>
      <w:r w:rsidR="00583C08" w:rsidRPr="00583C08">
        <w:rPr>
          <w:rFonts w:ascii="Arial" w:eastAsia="MS Mincho" w:hAnsi="Arial" w:cs="Arial"/>
          <w:snapToGrid w:val="0"/>
          <w:szCs w:val="24"/>
          <w:lang w:val="en-US" w:eastAsia="ja-JP"/>
        </w:rPr>
        <w:sym w:font="Symbol" w:char="F0E2"/>
      </w:r>
      <w:r w:rsidR="00583C08" w:rsidRPr="00583C08">
        <w:rPr>
          <w:rFonts w:ascii="Arial" w:eastAsia="MS Mincho" w:hAnsi="Arial" w:cs="Arial"/>
          <w:snapToGrid w:val="0"/>
          <w:szCs w:val="24"/>
          <w:lang w:val="en-US" w:eastAsia="ja-JP"/>
        </w:rPr>
        <w:t xml:space="preserve"> </w:t>
      </w:r>
      <w:r w:rsidR="00583C08" w:rsidRPr="00583C08">
        <w:rPr>
          <w:rFonts w:ascii="Arial" w:eastAsia="MS Mincho" w:hAnsi="Arial" w:cs="Arial"/>
          <w:snapToGrid w:val="0"/>
          <w:szCs w:val="24"/>
          <w:lang w:val="en-US" w:eastAsia="ja-JP"/>
        </w:rPr>
        <w:t xml:space="preserve"> software </w:t>
      </w:r>
      <w:r w:rsidR="00583C08" w:rsidRPr="00583C08">
        <w:rPr>
          <w:rFonts w:ascii="Arial" w:eastAsia="MS Mincho" w:hAnsi="Arial" w:cs="Arial"/>
          <w:snapToGrid w:val="0"/>
          <w:szCs w:val="24"/>
          <w:lang w:val="en-US" w:eastAsia="ja-JP"/>
        </w:rPr>
        <w:t xml:space="preserve">(v 4.0). </w:t>
      </w:r>
      <w:r w:rsidR="00583C08" w:rsidRPr="00583C08">
        <w:rPr>
          <w:rFonts w:ascii="Arial" w:eastAsia="MS Mincho" w:hAnsi="Arial" w:cs="Arial"/>
          <w:snapToGrid w:val="0"/>
          <w:szCs w:val="24"/>
          <w:lang w:val="en-US" w:eastAsia="ja-JP"/>
        </w:rPr>
        <w:t xml:space="preserve">The proportion of patients without deterioration is expected to be 75% in the CPM group after two years according </w:t>
      </w:r>
      <w:proofErr w:type="gramStart"/>
      <w:r w:rsidR="00583C08" w:rsidRPr="00583C08">
        <w:rPr>
          <w:rFonts w:ascii="Arial" w:eastAsia="MS Mincho" w:hAnsi="Arial" w:cs="Arial"/>
          <w:snapToGrid w:val="0"/>
          <w:szCs w:val="24"/>
          <w:lang w:val="en-US" w:eastAsia="ja-JP"/>
        </w:rPr>
        <w:t xml:space="preserve">to  </w:t>
      </w:r>
      <w:proofErr w:type="spellStart"/>
      <w:r w:rsidR="00583C08" w:rsidRPr="00583C08">
        <w:rPr>
          <w:rFonts w:ascii="Arial" w:eastAsia="MS Mincho" w:hAnsi="Arial" w:cs="Arial"/>
          <w:snapToGrid w:val="0"/>
          <w:szCs w:val="24"/>
          <w:lang w:val="en-US" w:eastAsia="ja-JP"/>
        </w:rPr>
        <w:t>Hohol</w:t>
      </w:r>
      <w:proofErr w:type="spellEnd"/>
      <w:proofErr w:type="gramEnd"/>
      <w:r w:rsidR="00583C08" w:rsidRPr="00583C08">
        <w:rPr>
          <w:rFonts w:ascii="Arial" w:eastAsia="MS Mincho" w:hAnsi="Arial" w:cs="Arial"/>
          <w:snapToGrid w:val="0"/>
          <w:szCs w:val="24"/>
          <w:lang w:val="en-US" w:eastAsia="ja-JP"/>
        </w:rPr>
        <w:t xml:space="preserve"> et al. (</w:t>
      </w:r>
      <w:r w:rsidR="00583C08" w:rsidRPr="00583C08">
        <w:rPr>
          <w:rFonts w:ascii="Arial" w:eastAsia="MS Mincho" w:hAnsi="Arial" w:cs="Arial"/>
          <w:snapToGrid w:val="0"/>
          <w:szCs w:val="24"/>
          <w:lang w:val="en-US" w:eastAsia="ja-JP"/>
        </w:rPr>
        <w:t>1999)</w:t>
      </w:r>
      <w:r w:rsidR="00583C08" w:rsidRPr="00583C08">
        <w:rPr>
          <w:rFonts w:ascii="Arial" w:eastAsia="MS Mincho" w:hAnsi="Arial" w:cs="Arial"/>
          <w:snapToGrid w:val="0"/>
          <w:szCs w:val="24"/>
          <w:lang w:val="en-US" w:eastAsia="ja-JP"/>
        </w:rPr>
        <w:t xml:space="preserve"> and </w:t>
      </w:r>
      <w:r w:rsidR="00583C08" w:rsidRPr="00583C08">
        <w:rPr>
          <w:rFonts w:ascii="Arial" w:eastAsia="MS Mincho" w:hAnsi="Arial" w:cs="Arial"/>
          <w:snapToGrid w:val="0"/>
          <w:szCs w:val="24"/>
          <w:lang w:val="en-US" w:eastAsia="ja-JP"/>
        </w:rPr>
        <w:t xml:space="preserve">60% </w:t>
      </w:r>
      <w:r w:rsidR="00583C08" w:rsidRPr="00583C08">
        <w:rPr>
          <w:rFonts w:ascii="Arial" w:eastAsia="MS Mincho" w:hAnsi="Arial" w:cs="Arial"/>
          <w:snapToGrid w:val="0"/>
          <w:szCs w:val="24"/>
          <w:lang w:val="en-US" w:eastAsia="ja-JP"/>
        </w:rPr>
        <w:t xml:space="preserve">in the MP group </w:t>
      </w:r>
      <w:r w:rsidR="00583C08" w:rsidRPr="00583C08">
        <w:rPr>
          <w:rFonts w:ascii="Arial" w:eastAsia="MS Mincho" w:hAnsi="Arial" w:cs="Arial"/>
          <w:snapToGrid w:val="0"/>
          <w:szCs w:val="24"/>
          <w:lang w:val="en-US" w:eastAsia="ja-JP"/>
        </w:rPr>
        <w:t xml:space="preserve">( Kinkel, 1999). </w:t>
      </w:r>
      <w:r w:rsidR="00583C08" w:rsidRPr="00583C08">
        <w:rPr>
          <w:rFonts w:ascii="Arial" w:eastAsia="MS Mincho" w:hAnsi="Arial" w:cs="Arial"/>
          <w:snapToGrid w:val="0"/>
          <w:szCs w:val="24"/>
          <w:lang w:val="en-US" w:eastAsia="ja-JP"/>
        </w:rPr>
        <w:br/>
      </w:r>
      <w:r w:rsidR="00583C08" w:rsidRPr="00583C08">
        <w:rPr>
          <w:rFonts w:ascii="Arial" w:eastAsia="MS Mincho" w:hAnsi="Arial" w:cs="Arial"/>
          <w:snapToGrid w:val="0"/>
          <w:szCs w:val="24"/>
          <w:lang w:val="en-US" w:eastAsia="ja-JP"/>
        </w:rPr>
        <w:t xml:space="preserve">By comparing the delay of deterioration curves in each group by a bilateral </w:t>
      </w:r>
      <w:proofErr w:type="spellStart"/>
      <w:r w:rsidR="00583C08" w:rsidRPr="00583C08">
        <w:rPr>
          <w:rFonts w:ascii="Arial" w:eastAsia="MS Mincho" w:hAnsi="Arial" w:cs="Arial"/>
          <w:snapToGrid w:val="0"/>
          <w:szCs w:val="24"/>
          <w:lang w:val="en-US" w:eastAsia="ja-JP"/>
        </w:rPr>
        <w:t>logrank</w:t>
      </w:r>
      <w:proofErr w:type="spellEnd"/>
      <w:r w:rsidR="00583C08" w:rsidRPr="00583C08">
        <w:rPr>
          <w:rFonts w:ascii="Arial" w:eastAsia="MS Mincho" w:hAnsi="Arial" w:cs="Arial"/>
          <w:snapToGrid w:val="0"/>
          <w:szCs w:val="24"/>
          <w:lang w:val="en-US" w:eastAsia="ja-JP"/>
        </w:rPr>
        <w:t xml:space="preserve"> test (</w:t>
      </w:r>
      <w:r w:rsidR="00583C08" w:rsidRPr="00583C08">
        <w:rPr>
          <w:rFonts w:ascii="Arial" w:eastAsia="MS Mincho" w:hAnsi="Arial" w:cs="Arial"/>
          <w:snapToGrid w:val="0"/>
          <w:szCs w:val="24"/>
          <w:lang w:val="en-US" w:eastAsia="ja-JP"/>
        </w:rPr>
        <w:sym w:font="Symbol" w:char="F061"/>
      </w:r>
      <w:r w:rsidR="00583C08" w:rsidRPr="00583C08">
        <w:rPr>
          <w:rFonts w:ascii="Arial" w:eastAsia="MS Mincho" w:hAnsi="Arial" w:cs="Arial"/>
          <w:snapToGrid w:val="0"/>
          <w:szCs w:val="24"/>
          <w:lang w:val="en-US" w:eastAsia="ja-JP"/>
        </w:rPr>
        <w:t xml:space="preserve"> = 5% </w:t>
      </w:r>
      <w:r w:rsidR="00583C08" w:rsidRPr="00583C08">
        <w:rPr>
          <w:rFonts w:ascii="Arial" w:eastAsia="MS Mincho" w:hAnsi="Arial" w:cs="Arial"/>
          <w:snapToGrid w:val="0"/>
          <w:szCs w:val="24"/>
          <w:lang w:val="en-US" w:eastAsia="ja-JP"/>
        </w:rPr>
        <w:t xml:space="preserve">and </w:t>
      </w:r>
      <w:r w:rsidR="00583C08" w:rsidRPr="00583C08">
        <w:rPr>
          <w:rFonts w:ascii="Arial" w:eastAsia="MS Mincho" w:hAnsi="Arial" w:cs="Arial"/>
          <w:snapToGrid w:val="0"/>
          <w:szCs w:val="24"/>
          <w:lang w:val="en-US" w:eastAsia="ja-JP"/>
        </w:rPr>
        <w:t>(1</w:t>
      </w:r>
      <w:proofErr w:type="gramStart"/>
      <w:r w:rsidR="00583C08" w:rsidRPr="00583C08">
        <w:rPr>
          <w:rFonts w:ascii="Arial" w:eastAsia="MS Mincho" w:hAnsi="Arial" w:cs="Arial"/>
          <w:snapToGrid w:val="0"/>
          <w:szCs w:val="24"/>
          <w:lang w:val="en-US" w:eastAsia="ja-JP"/>
        </w:rPr>
        <w:t>-</w:t>
      </w:r>
      <w:proofErr w:type="gramEnd"/>
      <w:r w:rsidR="00583C08" w:rsidRPr="00583C08">
        <w:rPr>
          <w:rFonts w:ascii="Arial" w:eastAsia="MS Mincho" w:hAnsi="Arial" w:cs="Arial"/>
          <w:snapToGrid w:val="0"/>
          <w:szCs w:val="24"/>
          <w:lang w:val="en-US" w:eastAsia="ja-JP"/>
        </w:rPr>
        <w:sym w:font="Symbol" w:char="F062"/>
      </w:r>
      <w:r w:rsidR="00583C08" w:rsidRPr="00583C08">
        <w:rPr>
          <w:rFonts w:ascii="Arial" w:eastAsia="MS Mincho" w:hAnsi="Arial" w:cs="Arial"/>
          <w:snapToGrid w:val="0"/>
          <w:szCs w:val="24"/>
          <w:lang w:val="en-US" w:eastAsia="ja-JP"/>
        </w:rPr>
        <w:t>) = 80%</w:t>
      </w:r>
      <w:r w:rsidR="00583C08" w:rsidRPr="00583C08">
        <w:rPr>
          <w:rFonts w:ascii="Arial" w:eastAsia="MS Mincho" w:hAnsi="Arial" w:cs="Arial"/>
          <w:snapToGrid w:val="0"/>
          <w:szCs w:val="24"/>
          <w:lang w:val="en-US" w:eastAsia="ja-JP"/>
        </w:rPr>
        <w:t xml:space="preserve">) the number to be included in each group is at least 155 </w:t>
      </w:r>
      <w:r w:rsidR="00583C08" w:rsidRPr="00583C08">
        <w:rPr>
          <w:rFonts w:ascii="Arial" w:eastAsia="MS Mincho" w:hAnsi="Arial" w:cs="Arial"/>
          <w:snapToGrid w:val="0"/>
          <w:szCs w:val="24"/>
          <w:lang w:val="en-US" w:eastAsia="ja-JP"/>
        </w:rPr>
        <w:t>patients (2</w:t>
      </w:r>
      <w:r w:rsidR="00583C08" w:rsidRPr="00583C08">
        <w:rPr>
          <w:rFonts w:ascii="Arial" w:eastAsia="MS Mincho" w:hAnsi="Arial" w:cs="Arial"/>
          <w:snapToGrid w:val="0"/>
          <w:szCs w:val="24"/>
          <w:lang w:val="en-US" w:eastAsia="ja-JP"/>
        </w:rPr>
        <w:t xml:space="preserve"> groups with the same size)</w:t>
      </w:r>
      <w:r w:rsidR="00583C08" w:rsidRPr="00583C08">
        <w:rPr>
          <w:rFonts w:ascii="Arial" w:eastAsia="MS Mincho" w:hAnsi="Arial" w:cs="Arial"/>
          <w:snapToGrid w:val="0"/>
          <w:szCs w:val="24"/>
          <w:lang w:val="en-US" w:eastAsia="ja-JP"/>
        </w:rPr>
        <w:t>.</w:t>
      </w:r>
      <w:r w:rsidR="00583C08" w:rsidRPr="00583C08">
        <w:rPr>
          <w:rFonts w:ascii="Arial" w:eastAsia="MS Mincho" w:hAnsi="Arial" w:cs="Arial"/>
          <w:snapToGrid w:val="0"/>
          <w:szCs w:val="24"/>
          <w:lang w:val="en-US" w:eastAsia="ja-JP"/>
        </w:rPr>
        <w:t xml:space="preserve"> Assuming that 5% of patients will be lost for follow-up, 180</w:t>
      </w:r>
      <w:r w:rsidR="00583C08" w:rsidRPr="00583C08">
        <w:rPr>
          <w:rFonts w:ascii="Arial" w:eastAsia="MS Mincho" w:hAnsi="Arial" w:cs="Arial"/>
          <w:snapToGrid w:val="0"/>
          <w:szCs w:val="24"/>
          <w:lang w:val="en-US" w:eastAsia="ja-JP"/>
        </w:rPr>
        <w:t xml:space="preserve"> patients</w:t>
      </w:r>
      <w:r w:rsidR="00583C08" w:rsidRPr="00583C08">
        <w:rPr>
          <w:rFonts w:ascii="Arial" w:eastAsia="MS Mincho" w:hAnsi="Arial" w:cs="Arial"/>
          <w:snapToGrid w:val="0"/>
          <w:szCs w:val="24"/>
          <w:lang w:val="en-US" w:eastAsia="ja-JP"/>
        </w:rPr>
        <w:t xml:space="preserve"> will be included in each group. </w:t>
      </w:r>
    </w:p>
    <w:p w:rsidR="00583C08" w:rsidRDefault="00583C08" w:rsidP="00583C08">
      <w:pPr>
        <w:pStyle w:val="Retraitcorpsdetexte2"/>
        <w:jc w:val="left"/>
        <w:rPr>
          <w:rFonts w:ascii="Arial" w:eastAsia="MS Mincho" w:hAnsi="Arial" w:cs="Arial"/>
          <w:b/>
          <w:snapToGrid w:val="0"/>
          <w:szCs w:val="24"/>
          <w:u w:val="single"/>
          <w:lang w:val="en-US" w:eastAsia="ja-JP"/>
        </w:rPr>
      </w:pPr>
    </w:p>
    <w:p w:rsidR="00583C08" w:rsidRDefault="007C416E" w:rsidP="007C416E">
      <w:pPr>
        <w:spacing w:line="480" w:lineRule="auto"/>
        <w:ind w:left="1065"/>
        <w:rPr>
          <w:rFonts w:ascii="Arial" w:hAnsi="Arial" w:cs="Arial"/>
          <w:snapToGrid w:val="0"/>
          <w:lang w:val="en-US"/>
        </w:rPr>
      </w:pPr>
      <w:r w:rsidRPr="00583C08">
        <w:rPr>
          <w:rFonts w:ascii="Arial" w:hAnsi="Arial" w:cs="Arial"/>
          <w:snapToGrid w:val="0"/>
          <w:lang w:val="en-US"/>
        </w:rPr>
        <w:lastRenderedPageBreak/>
        <w:br/>
      </w:r>
    </w:p>
    <w:p w:rsidR="00583C08" w:rsidRDefault="00583C08" w:rsidP="007C416E">
      <w:pPr>
        <w:spacing w:line="480" w:lineRule="auto"/>
        <w:ind w:left="1065"/>
        <w:rPr>
          <w:rFonts w:ascii="Arial" w:hAnsi="Arial" w:cs="Arial"/>
          <w:snapToGrid w:val="0"/>
          <w:lang w:val="en-US"/>
        </w:rPr>
      </w:pPr>
      <w:r>
        <w:rPr>
          <w:rFonts w:ascii="Arial" w:hAnsi="Arial" w:cs="Arial"/>
          <w:snapToGrid w:val="0"/>
          <w:lang w:val="en-US"/>
        </w:rPr>
        <w:t>CHANGES</w:t>
      </w:r>
    </w:p>
    <w:p w:rsidR="007C416E" w:rsidRPr="007C416E" w:rsidRDefault="007C416E" w:rsidP="007C416E">
      <w:pPr>
        <w:spacing w:line="480" w:lineRule="auto"/>
        <w:ind w:left="1065"/>
        <w:rPr>
          <w:rFonts w:ascii="Arial" w:hAnsi="Arial" w:cs="Arial"/>
          <w:snapToGrid w:val="0"/>
          <w:lang w:val="en-GB"/>
        </w:rPr>
      </w:pPr>
      <w:r w:rsidRPr="007C416E">
        <w:rPr>
          <w:rFonts w:ascii="Arial" w:hAnsi="Arial" w:cs="Arial"/>
          <w:snapToGrid w:val="0"/>
          <w:lang w:val="en-GB"/>
        </w:rPr>
        <w:t xml:space="preserve">The main changes in comparison with the final Analysis Plan were the introduction of two additional sensitivity analyses: one considering all patients who stopped their follow-up as having experienced deterioration of EDSS (worst case analysis for the comparison of proportions of deteriorated patients at 2 years), and the second one using multistate models to take into account the premature stopping of treatment and follow-up. This was decided after a blind data review (i.e. before </w:t>
      </w:r>
      <w:proofErr w:type="spellStart"/>
      <w:r w:rsidRPr="007C416E">
        <w:rPr>
          <w:rFonts w:ascii="Arial" w:hAnsi="Arial" w:cs="Arial"/>
          <w:snapToGrid w:val="0"/>
          <w:lang w:val="en-GB"/>
        </w:rPr>
        <w:t>unblinding</w:t>
      </w:r>
      <w:proofErr w:type="spellEnd"/>
      <w:r w:rsidRPr="007C416E">
        <w:rPr>
          <w:rFonts w:ascii="Arial" w:hAnsi="Arial" w:cs="Arial"/>
          <w:snapToGrid w:val="0"/>
          <w:lang w:val="en-GB"/>
        </w:rPr>
        <w:t>) because of the high overall proportion of patients who stopped treatment and follow-up prematurely.</w:t>
      </w:r>
      <w:r w:rsidRPr="007C416E">
        <w:rPr>
          <w:rFonts w:ascii="Arial" w:hAnsi="Arial" w:cs="Arial"/>
          <w:snapToGrid w:val="0"/>
          <w:lang w:val="en-GB"/>
        </w:rPr>
        <w:br/>
        <w:t xml:space="preserve">Minor changes included the possible use of a frailty model, instead of a standard Cox model, to better take into account the centre effect as a random effect, in case of significant variance of the </w:t>
      </w:r>
      <w:proofErr w:type="spellStart"/>
      <w:r w:rsidRPr="007C416E">
        <w:rPr>
          <w:rFonts w:ascii="Arial" w:hAnsi="Arial" w:cs="Arial"/>
          <w:snapToGrid w:val="0"/>
          <w:lang w:val="en-GB"/>
        </w:rPr>
        <w:t>center</w:t>
      </w:r>
      <w:proofErr w:type="spellEnd"/>
      <w:r w:rsidRPr="007C416E">
        <w:rPr>
          <w:rFonts w:ascii="Arial" w:hAnsi="Arial" w:cs="Arial"/>
          <w:snapToGrid w:val="0"/>
          <w:lang w:val="en-GB"/>
        </w:rPr>
        <w:t xml:space="preserve"> effect. As it was not the case the standard Cox model was used."</w:t>
      </w:r>
    </w:p>
    <w:p w:rsidR="007C416E" w:rsidRPr="007C416E" w:rsidRDefault="007C416E" w:rsidP="007C416E">
      <w:pPr>
        <w:spacing w:line="480" w:lineRule="auto"/>
        <w:rPr>
          <w:rFonts w:ascii="Arial" w:hAnsi="Arial" w:cs="Arial"/>
          <w:snapToGrid w:val="0"/>
          <w:lang w:val="en-GB"/>
        </w:rPr>
      </w:pPr>
    </w:p>
    <w:p w:rsidR="005277D7" w:rsidRPr="007C416E" w:rsidRDefault="005277D7" w:rsidP="007C416E">
      <w:pPr>
        <w:spacing w:line="480" w:lineRule="auto"/>
        <w:rPr>
          <w:rFonts w:ascii="Arial" w:hAnsi="Arial" w:cs="Arial"/>
          <w:snapToGrid w:val="0"/>
          <w:lang w:val="en-GB"/>
        </w:rPr>
      </w:pPr>
    </w:p>
    <w:sectPr w:rsidR="005277D7" w:rsidRPr="007C4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872"/>
    <w:multiLevelType w:val="singleLevel"/>
    <w:tmpl w:val="EA9293D8"/>
    <w:lvl w:ilvl="0">
      <w:numFmt w:val="bullet"/>
      <w:lvlText w:val="-"/>
      <w:lvlJc w:val="left"/>
      <w:pPr>
        <w:tabs>
          <w:tab w:val="num" w:pos="1065"/>
        </w:tabs>
        <w:ind w:left="1065" w:hanging="360"/>
      </w:pPr>
      <w:rPr>
        <w:rFonts w:hint="default"/>
      </w:rPr>
    </w:lvl>
  </w:abstractNum>
  <w:abstractNum w:abstractNumId="1">
    <w:nsid w:val="21ED41E6"/>
    <w:multiLevelType w:val="multilevel"/>
    <w:tmpl w:val="BA805F5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color w:val="auto"/>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
    <w:nsid w:val="51FF65F5"/>
    <w:multiLevelType w:val="hybridMultilevel"/>
    <w:tmpl w:val="FD203E34"/>
    <w:lvl w:ilvl="0" w:tplc="80A8156A">
      <w:start w:val="1"/>
      <w:numFmt w:val="bullet"/>
      <w:lvlText w:val="-"/>
      <w:lvlJc w:val="left"/>
      <w:pPr>
        <w:tabs>
          <w:tab w:val="num" w:pos="1064"/>
        </w:tabs>
        <w:ind w:left="1064" w:hanging="360"/>
      </w:pPr>
      <w:rPr>
        <w:rFonts w:ascii="Times New Roman" w:eastAsia="Times New Roman" w:hAnsi="Times New Roman" w:cs="Times New Roman" w:hint="default"/>
      </w:rPr>
    </w:lvl>
    <w:lvl w:ilvl="1" w:tplc="040C0003">
      <w:start w:val="1"/>
      <w:numFmt w:val="bullet"/>
      <w:lvlText w:val="o"/>
      <w:lvlJc w:val="left"/>
      <w:pPr>
        <w:tabs>
          <w:tab w:val="num" w:pos="1784"/>
        </w:tabs>
        <w:ind w:left="1784" w:hanging="360"/>
      </w:pPr>
      <w:rPr>
        <w:rFonts w:ascii="Courier New" w:hAnsi="Courier New" w:cs="Courier New" w:hint="default"/>
      </w:rPr>
    </w:lvl>
    <w:lvl w:ilvl="2" w:tplc="040C0005" w:tentative="1">
      <w:start w:val="1"/>
      <w:numFmt w:val="bullet"/>
      <w:lvlText w:val=""/>
      <w:lvlJc w:val="left"/>
      <w:pPr>
        <w:tabs>
          <w:tab w:val="num" w:pos="2504"/>
        </w:tabs>
        <w:ind w:left="2504" w:hanging="360"/>
      </w:pPr>
      <w:rPr>
        <w:rFonts w:ascii="Wingdings" w:hAnsi="Wingdings" w:hint="default"/>
      </w:rPr>
    </w:lvl>
    <w:lvl w:ilvl="3" w:tplc="040C0001" w:tentative="1">
      <w:start w:val="1"/>
      <w:numFmt w:val="bullet"/>
      <w:lvlText w:val=""/>
      <w:lvlJc w:val="left"/>
      <w:pPr>
        <w:tabs>
          <w:tab w:val="num" w:pos="3224"/>
        </w:tabs>
        <w:ind w:left="3224" w:hanging="360"/>
      </w:pPr>
      <w:rPr>
        <w:rFonts w:ascii="Symbol" w:hAnsi="Symbol" w:hint="default"/>
      </w:rPr>
    </w:lvl>
    <w:lvl w:ilvl="4" w:tplc="040C0003" w:tentative="1">
      <w:start w:val="1"/>
      <w:numFmt w:val="bullet"/>
      <w:lvlText w:val="o"/>
      <w:lvlJc w:val="left"/>
      <w:pPr>
        <w:tabs>
          <w:tab w:val="num" w:pos="3944"/>
        </w:tabs>
        <w:ind w:left="3944" w:hanging="360"/>
      </w:pPr>
      <w:rPr>
        <w:rFonts w:ascii="Courier New" w:hAnsi="Courier New" w:cs="Courier New" w:hint="default"/>
      </w:rPr>
    </w:lvl>
    <w:lvl w:ilvl="5" w:tplc="040C0005" w:tentative="1">
      <w:start w:val="1"/>
      <w:numFmt w:val="bullet"/>
      <w:lvlText w:val=""/>
      <w:lvlJc w:val="left"/>
      <w:pPr>
        <w:tabs>
          <w:tab w:val="num" w:pos="4664"/>
        </w:tabs>
        <w:ind w:left="4664" w:hanging="360"/>
      </w:pPr>
      <w:rPr>
        <w:rFonts w:ascii="Wingdings" w:hAnsi="Wingdings" w:hint="default"/>
      </w:rPr>
    </w:lvl>
    <w:lvl w:ilvl="6" w:tplc="040C0001" w:tentative="1">
      <w:start w:val="1"/>
      <w:numFmt w:val="bullet"/>
      <w:lvlText w:val=""/>
      <w:lvlJc w:val="left"/>
      <w:pPr>
        <w:tabs>
          <w:tab w:val="num" w:pos="5384"/>
        </w:tabs>
        <w:ind w:left="5384" w:hanging="360"/>
      </w:pPr>
      <w:rPr>
        <w:rFonts w:ascii="Symbol" w:hAnsi="Symbol" w:hint="default"/>
      </w:rPr>
    </w:lvl>
    <w:lvl w:ilvl="7" w:tplc="040C0003" w:tentative="1">
      <w:start w:val="1"/>
      <w:numFmt w:val="bullet"/>
      <w:lvlText w:val="o"/>
      <w:lvlJc w:val="left"/>
      <w:pPr>
        <w:tabs>
          <w:tab w:val="num" w:pos="6104"/>
        </w:tabs>
        <w:ind w:left="6104" w:hanging="360"/>
      </w:pPr>
      <w:rPr>
        <w:rFonts w:ascii="Courier New" w:hAnsi="Courier New" w:cs="Courier New" w:hint="default"/>
      </w:rPr>
    </w:lvl>
    <w:lvl w:ilvl="8" w:tplc="040C0005" w:tentative="1">
      <w:start w:val="1"/>
      <w:numFmt w:val="bullet"/>
      <w:lvlText w:val=""/>
      <w:lvlJc w:val="left"/>
      <w:pPr>
        <w:tabs>
          <w:tab w:val="num" w:pos="6824"/>
        </w:tabs>
        <w:ind w:left="6824" w:hanging="360"/>
      </w:pPr>
      <w:rPr>
        <w:rFonts w:ascii="Wingdings" w:hAnsi="Wingdings" w:hint="default"/>
      </w:rPr>
    </w:lvl>
  </w:abstractNum>
  <w:abstractNum w:abstractNumId="3">
    <w:nsid w:val="659B35AE"/>
    <w:multiLevelType w:val="hybridMultilevel"/>
    <w:tmpl w:val="98162F48"/>
    <w:lvl w:ilvl="0" w:tplc="F0A8278C">
      <w:start w:val="21"/>
      <w:numFmt w:val="bullet"/>
      <w:lvlText w:val="-"/>
      <w:lvlJc w:val="left"/>
      <w:pPr>
        <w:ind w:left="720" w:hanging="360"/>
      </w:pPr>
      <w:rPr>
        <w:rFonts w:ascii="ArialUnicodeMS" w:eastAsia="ArialUnicodeMS" w:hAnsi="Arial" w:cs="ArialUnicode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6E"/>
    <w:rsid w:val="005277D7"/>
    <w:rsid w:val="00583C08"/>
    <w:rsid w:val="007C4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E"/>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7C416E"/>
    <w:rPr>
      <w:rFonts w:ascii="Courier New" w:hAnsi="Courier New" w:cs="Courier New"/>
      <w:sz w:val="20"/>
      <w:szCs w:val="20"/>
    </w:rPr>
  </w:style>
  <w:style w:type="character" w:customStyle="1" w:styleId="TextebrutCar">
    <w:name w:val="Texte brut Car"/>
    <w:basedOn w:val="Policepardfaut"/>
    <w:link w:val="Textebrut"/>
    <w:rsid w:val="007C416E"/>
    <w:rPr>
      <w:rFonts w:ascii="Courier New" w:eastAsia="MS Mincho" w:hAnsi="Courier New" w:cs="Courier New"/>
      <w:sz w:val="20"/>
      <w:szCs w:val="20"/>
      <w:lang w:eastAsia="ja-JP"/>
    </w:rPr>
  </w:style>
  <w:style w:type="paragraph" w:styleId="Paragraphedeliste">
    <w:name w:val="List Paragraph"/>
    <w:basedOn w:val="Normal"/>
    <w:uiPriority w:val="34"/>
    <w:qFormat/>
    <w:rsid w:val="007C416E"/>
    <w:pPr>
      <w:ind w:left="720"/>
      <w:contextualSpacing/>
    </w:pPr>
  </w:style>
  <w:style w:type="paragraph" w:styleId="Retraitcorpsdetexte2">
    <w:name w:val="Body Text Indent 2"/>
    <w:basedOn w:val="Normal"/>
    <w:link w:val="Retraitcorpsdetexte2Car"/>
    <w:rsid w:val="00583C08"/>
    <w:pPr>
      <w:spacing w:line="360" w:lineRule="auto"/>
      <w:ind w:firstLine="284"/>
      <w:jc w:val="both"/>
    </w:pPr>
    <w:rPr>
      <w:rFonts w:eastAsia="Times New Roman"/>
      <w:szCs w:val="20"/>
      <w:lang w:eastAsia="fr-FR"/>
    </w:rPr>
  </w:style>
  <w:style w:type="character" w:customStyle="1" w:styleId="Retraitcorpsdetexte2Car">
    <w:name w:val="Retrait corps de texte 2 Car"/>
    <w:basedOn w:val="Policepardfaut"/>
    <w:link w:val="Retraitcorpsdetexte2"/>
    <w:rsid w:val="00583C08"/>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6E"/>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7C416E"/>
    <w:rPr>
      <w:rFonts w:ascii="Courier New" w:hAnsi="Courier New" w:cs="Courier New"/>
      <w:sz w:val="20"/>
      <w:szCs w:val="20"/>
    </w:rPr>
  </w:style>
  <w:style w:type="character" w:customStyle="1" w:styleId="TextebrutCar">
    <w:name w:val="Texte brut Car"/>
    <w:basedOn w:val="Policepardfaut"/>
    <w:link w:val="Textebrut"/>
    <w:rsid w:val="007C416E"/>
    <w:rPr>
      <w:rFonts w:ascii="Courier New" w:eastAsia="MS Mincho" w:hAnsi="Courier New" w:cs="Courier New"/>
      <w:sz w:val="20"/>
      <w:szCs w:val="20"/>
      <w:lang w:eastAsia="ja-JP"/>
    </w:rPr>
  </w:style>
  <w:style w:type="paragraph" w:styleId="Paragraphedeliste">
    <w:name w:val="List Paragraph"/>
    <w:basedOn w:val="Normal"/>
    <w:uiPriority w:val="34"/>
    <w:qFormat/>
    <w:rsid w:val="007C416E"/>
    <w:pPr>
      <w:ind w:left="720"/>
      <w:contextualSpacing/>
    </w:pPr>
  </w:style>
  <w:style w:type="paragraph" w:styleId="Retraitcorpsdetexte2">
    <w:name w:val="Body Text Indent 2"/>
    <w:basedOn w:val="Normal"/>
    <w:link w:val="Retraitcorpsdetexte2Car"/>
    <w:rsid w:val="00583C08"/>
    <w:pPr>
      <w:spacing w:line="360" w:lineRule="auto"/>
      <w:ind w:firstLine="284"/>
      <w:jc w:val="both"/>
    </w:pPr>
    <w:rPr>
      <w:rFonts w:eastAsia="Times New Roman"/>
      <w:szCs w:val="20"/>
      <w:lang w:eastAsia="fr-FR"/>
    </w:rPr>
  </w:style>
  <w:style w:type="character" w:customStyle="1" w:styleId="Retraitcorpsdetexte2Car">
    <w:name w:val="Retrait corps de texte 2 Car"/>
    <w:basedOn w:val="Policepardfaut"/>
    <w:link w:val="Retraitcorpsdetexte2"/>
    <w:rsid w:val="00583C0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2883</Words>
  <Characters>15857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BROCHET Bruno</dc:creator>
  <cp:lastModifiedBy>BROCHET Bruno</cp:lastModifiedBy>
  <cp:revision>2</cp:revision>
  <dcterms:created xsi:type="dcterms:W3CDTF">2016-06-20T10:36:00Z</dcterms:created>
  <dcterms:modified xsi:type="dcterms:W3CDTF">2016-06-20T10:36:00Z</dcterms:modified>
</cp:coreProperties>
</file>