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7C" w:rsidRPr="00ED4D54" w:rsidRDefault="00F920EA" w:rsidP="00CA337C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S</w:t>
      </w:r>
      <w:r w:rsidR="00A13342">
        <w:rPr>
          <w:rFonts w:ascii="Times New Roman" w:hAnsi="Times New Roman" w:hint="eastAsia"/>
          <w:b/>
          <w:sz w:val="24"/>
        </w:rPr>
        <w:t>6</w:t>
      </w:r>
      <w:r w:rsidR="005A6FD0">
        <w:rPr>
          <w:rFonts w:ascii="Times New Roman" w:hAnsi="Times New Roman" w:hint="eastAsia"/>
          <w:b/>
          <w:sz w:val="24"/>
        </w:rPr>
        <w:t xml:space="preserve"> </w:t>
      </w:r>
      <w:r w:rsidR="00D44E02">
        <w:rPr>
          <w:rFonts w:ascii="Times New Roman" w:hAnsi="Times New Roman" w:hint="eastAsia"/>
          <w:b/>
          <w:sz w:val="24"/>
        </w:rPr>
        <w:t>T</w:t>
      </w:r>
      <w:r w:rsidR="00CA337C" w:rsidRPr="00ED4D54">
        <w:rPr>
          <w:rFonts w:ascii="Times New Roman" w:hAnsi="Times New Roman" w:hint="eastAsia"/>
          <w:b/>
          <w:sz w:val="24"/>
        </w:rPr>
        <w:t>able.</w:t>
      </w:r>
      <w:r w:rsidR="00CA337C" w:rsidRPr="00ED4D54">
        <w:rPr>
          <w:rFonts w:ascii="Times New Roman" w:hAnsi="Times New Roman" w:hint="eastAsia"/>
          <w:sz w:val="24"/>
        </w:rPr>
        <w:t xml:space="preserve"> </w:t>
      </w:r>
      <w:proofErr w:type="gramStart"/>
      <w:r w:rsidR="00CA337C" w:rsidRPr="00ED4D54">
        <w:rPr>
          <w:rFonts w:ascii="Times New Roman" w:hAnsi="Times New Roman"/>
          <w:sz w:val="24"/>
        </w:rPr>
        <w:t xml:space="preserve">The peak list that had a significant difference* in intensity </w:t>
      </w:r>
      <w:r w:rsidR="005A6FD0">
        <w:rPr>
          <w:rFonts w:ascii="Times New Roman" w:hAnsi="Times New Roman" w:hint="eastAsia"/>
          <w:sz w:val="24"/>
        </w:rPr>
        <w:t xml:space="preserve">regarding </w:t>
      </w:r>
      <w:r w:rsidR="005A6FD0">
        <w:rPr>
          <w:rFonts w:ascii="Times New Roman" w:hAnsi="Times New Roman"/>
          <w:sz w:val="24"/>
        </w:rPr>
        <w:t>sampling</w:t>
      </w:r>
      <w:r w:rsidR="005A6FD0">
        <w:rPr>
          <w:rFonts w:ascii="Times New Roman" w:hAnsi="Times New Roman" w:hint="eastAsia"/>
          <w:sz w:val="24"/>
        </w:rPr>
        <w:t xml:space="preserve"> points and methods</w:t>
      </w:r>
      <w:r w:rsidR="00CA337C" w:rsidRPr="00ED4D54">
        <w:rPr>
          <w:rFonts w:ascii="Times New Roman" w:hAnsi="Times New Roman"/>
          <w:sz w:val="24"/>
        </w:rPr>
        <w:t>.</w:t>
      </w:r>
      <w:proofErr w:type="gramEnd"/>
    </w:p>
    <w:p w:rsidR="00CA337C" w:rsidRPr="00ED4D54" w:rsidRDefault="00CA337C" w:rsidP="00CA337C">
      <w:pPr>
        <w:spacing w:line="480" w:lineRule="auto"/>
        <w:rPr>
          <w:rFonts w:ascii="Times New Roman" w:hAnsi="Times New Roman"/>
          <w:sz w:val="24"/>
        </w:rPr>
      </w:pPr>
      <w:r w:rsidRPr="00ED4D54">
        <w:rPr>
          <w:rFonts w:ascii="Times New Roman" w:hAnsi="Times New Roman"/>
          <w:sz w:val="24"/>
        </w:rPr>
        <w:t>(A)</w:t>
      </w:r>
    </w:p>
    <w:tbl>
      <w:tblPr>
        <w:tblStyle w:val="PlainTable2"/>
        <w:tblW w:w="0" w:type="auto"/>
        <w:tblLook w:val="04A0"/>
      </w:tblPr>
      <w:tblGrid>
        <w:gridCol w:w="993"/>
        <w:gridCol w:w="3750"/>
        <w:gridCol w:w="3751"/>
      </w:tblGrid>
      <w:tr w:rsidR="00CA337C" w:rsidRPr="00ED4D54" w:rsidTr="00B510EC">
        <w:trPr>
          <w:cnfStyle w:val="100000000000"/>
        </w:trPr>
        <w:tc>
          <w:tcPr>
            <w:cnfStyle w:val="001000000000"/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A337C" w:rsidRPr="00ED4D54" w:rsidRDefault="00CA337C" w:rsidP="00B510EC">
            <w:pPr>
              <w:spacing w:line="48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12" w:space="0" w:color="auto"/>
              <w:bottom w:val="single" w:sz="12" w:space="0" w:color="auto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jc w:val="center"/>
              <w:cnfStyle w:val="100000000000"/>
              <w:rPr>
                <w:rFonts w:ascii="Times New Roman" w:hAnsi="Times New Roman" w:cs="Arial"/>
                <w:i w:val="0"/>
              </w:rPr>
            </w:pPr>
            <w:r w:rsidRPr="00ED4D54">
              <w:rPr>
                <w:rFonts w:ascii="Times New Roman" w:hAnsi="Times New Roman" w:cs="Times New Roman"/>
                <w:i w:val="0"/>
                <w:color w:val="000000" w:themeColor="text1"/>
                <w:kern w:val="24"/>
              </w:rPr>
              <w:t>PV &gt; CV</w:t>
            </w:r>
          </w:p>
        </w:tc>
        <w:tc>
          <w:tcPr>
            <w:tcW w:w="3751" w:type="dxa"/>
            <w:tcBorders>
              <w:top w:val="single" w:sz="12" w:space="0" w:color="auto"/>
              <w:bottom w:val="single" w:sz="12" w:space="0" w:color="auto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jc w:val="center"/>
              <w:cnfStyle w:val="100000000000"/>
              <w:rPr>
                <w:rFonts w:ascii="Times New Roman" w:hAnsi="Times New Roman" w:cs="Arial"/>
                <w:i w:val="0"/>
              </w:rPr>
            </w:pPr>
            <w:r w:rsidRPr="00ED4D54">
              <w:rPr>
                <w:rFonts w:ascii="Times New Roman" w:hAnsi="Times New Roman" w:cs="Times New Roman"/>
                <w:i w:val="0"/>
                <w:color w:val="000000" w:themeColor="text1"/>
                <w:kern w:val="24"/>
              </w:rPr>
              <w:t>CV &gt; PV</w:t>
            </w: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single" w:sz="12" w:space="0" w:color="auto"/>
              <w:bottom w:val="nil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Times New Roman" w:hAnsi="Times New Roman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Pre</w:t>
            </w:r>
          </w:p>
        </w:tc>
        <w:tc>
          <w:tcPr>
            <w:tcW w:w="3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4615</w:t>
            </w:r>
          </w:p>
        </w:tc>
        <w:tc>
          <w:tcPr>
            <w:tcW w:w="3751" w:type="dxa"/>
            <w:tcBorders>
              <w:top w:val="single" w:sz="12" w:space="0" w:color="auto"/>
              <w:bottom w:val="nil"/>
            </w:tcBorders>
          </w:tcPr>
          <w:p w:rsidR="00CA337C" w:rsidRPr="00ED4D54" w:rsidRDefault="00CA337C" w:rsidP="00B510EC">
            <w:pPr>
              <w:spacing w:line="48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7C" w:rsidRPr="00ED4D54" w:rsidTr="00B510EC">
        <w:tc>
          <w:tcPr>
            <w:cnfStyle w:val="001000000000"/>
            <w:tcW w:w="993" w:type="dxa"/>
            <w:tcBorders>
              <w:top w:val="nil"/>
              <w:bottom w:val="nil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Times New Roman" w:hAnsi="Times New Roman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0 min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3538, 3852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CA337C" w:rsidRPr="00ED4D54" w:rsidRDefault="00CA337C" w:rsidP="00B510EC">
            <w:pPr>
              <w:spacing w:line="480" w:lineRule="auto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nil"/>
              <w:bottom w:val="nil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Times New Roman" w:hAnsi="Times New Roman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1 h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2898, 3000, 3028</w:t>
            </w:r>
          </w:p>
        </w:tc>
        <w:tc>
          <w:tcPr>
            <w:tcW w:w="3751" w:type="dxa"/>
            <w:tcBorders>
              <w:top w:val="nil"/>
              <w:bottom w:val="nil"/>
            </w:tcBorders>
          </w:tcPr>
          <w:p w:rsidR="00CA337C" w:rsidRPr="00ED4D54" w:rsidRDefault="00CA337C" w:rsidP="00B510EC">
            <w:pPr>
              <w:spacing w:line="480" w:lineRule="auto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37C" w:rsidRPr="00ED4D54" w:rsidTr="00B510EC">
        <w:tc>
          <w:tcPr>
            <w:cnfStyle w:val="001000000000"/>
            <w:tcW w:w="993" w:type="dxa"/>
            <w:tcBorders>
              <w:top w:val="nil"/>
              <w:bottom w:val="nil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Times New Roman" w:hAnsi="Times New Roman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3 h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3000, 3028, 4615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2041, 11202</w:t>
            </w: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nil"/>
              <w:bottom w:val="single" w:sz="12" w:space="0" w:color="auto"/>
            </w:tcBorders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Times New Roman" w:hAnsi="Times New Roman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168 h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2898, 2920, 3000, 3028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Times New Roman" w:hAnsi="Times New Roman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2531</w:t>
            </w:r>
          </w:p>
        </w:tc>
      </w:tr>
    </w:tbl>
    <w:p w:rsidR="00CA337C" w:rsidRPr="00ED4D54" w:rsidRDefault="00CA337C" w:rsidP="00CA337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)</w:t>
      </w:r>
    </w:p>
    <w:tbl>
      <w:tblPr>
        <w:tblStyle w:val="PlainTable2"/>
        <w:tblW w:w="0" w:type="auto"/>
        <w:tblLook w:val="04A0"/>
      </w:tblPr>
      <w:tblGrid>
        <w:gridCol w:w="993"/>
        <w:gridCol w:w="3750"/>
        <w:gridCol w:w="3751"/>
      </w:tblGrid>
      <w:tr w:rsidR="00CA337C" w:rsidRPr="00ED4D54" w:rsidTr="00B510EC">
        <w:trPr>
          <w:cnfStyle w:val="100000000000"/>
        </w:trPr>
        <w:tc>
          <w:tcPr>
            <w:cnfStyle w:val="001000000000"/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A337C" w:rsidRPr="00ED4D54" w:rsidRDefault="00CA337C" w:rsidP="00B510EC">
            <w:pPr>
              <w:spacing w:line="48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jc w:val="center"/>
              <w:cnfStyle w:val="100000000000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Serum &gt; Plasma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jc w:val="center"/>
              <w:cnfStyle w:val="100000000000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Plasma &gt; Serum</w:t>
            </w: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Pre</w:t>
            </w:r>
          </w:p>
        </w:tc>
        <w:tc>
          <w:tcPr>
            <w:tcW w:w="3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2041, 2742, 2857</w:t>
            </w:r>
          </w:p>
        </w:tc>
        <w:tc>
          <w:tcPr>
            <w:tcW w:w="37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2878, 11128</w:t>
            </w:r>
          </w:p>
        </w:tc>
      </w:tr>
      <w:tr w:rsidR="00CA337C" w:rsidRPr="00ED4D54" w:rsidTr="00B510EC">
        <w:tc>
          <w:tcPr>
            <w:cnfStyle w:val="00100000000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0 min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2041, 2857, 3852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2878</w:t>
            </w: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24 h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2041, 2857, 3627, 3852, 4615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2878</w:t>
            </w:r>
          </w:p>
        </w:tc>
      </w:tr>
      <w:tr w:rsidR="00CA337C" w:rsidRPr="00ED4D54" w:rsidTr="00B510EC">
        <w:tc>
          <w:tcPr>
            <w:cnfStyle w:val="001000000000"/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48 h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2041, 2857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0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2878</w:t>
            </w:r>
          </w:p>
        </w:tc>
      </w:tr>
      <w:tr w:rsidR="00CA337C" w:rsidRPr="00ED4D54" w:rsidTr="00B510EC">
        <w:trPr>
          <w:cnfStyle w:val="000000100000"/>
        </w:trPr>
        <w:tc>
          <w:tcPr>
            <w:cnfStyle w:val="001000000000"/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rPr>
                <w:rFonts w:ascii="Arial" w:hAnsi="Arial" w:cs="Arial"/>
                <w:i w:val="0"/>
                <w:caps w:val="0"/>
              </w:rPr>
            </w:pPr>
            <w:r w:rsidRPr="00ED4D54">
              <w:rPr>
                <w:rFonts w:ascii="Times New Roman" w:hAnsi="Times New Roman" w:cs="Times New Roman"/>
                <w:i w:val="0"/>
                <w:caps w:val="0"/>
                <w:color w:val="000000" w:themeColor="text1"/>
                <w:kern w:val="24"/>
              </w:rPr>
              <w:t>120 h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2041, 2857, 3042, 9225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A337C" w:rsidRPr="00ED4D54" w:rsidRDefault="00CA337C" w:rsidP="00B510EC">
            <w:pPr>
              <w:pStyle w:val="Web"/>
              <w:spacing w:before="0" w:beforeAutospacing="0" w:after="0" w:afterAutospacing="0" w:line="480" w:lineRule="auto"/>
              <w:cnfStyle w:val="000000100000"/>
              <w:rPr>
                <w:rFonts w:ascii="Arial" w:hAnsi="Arial" w:cs="Arial"/>
              </w:rPr>
            </w:pPr>
            <w:r w:rsidRPr="00ED4D54">
              <w:rPr>
                <w:rFonts w:ascii="Times New Roman" w:hAnsi="Times New Roman" w:cs="Times New Roman"/>
                <w:color w:val="000000" w:themeColor="text1"/>
                <w:kern w:val="24"/>
              </w:rPr>
              <w:t>2878, 2894</w:t>
            </w:r>
          </w:p>
        </w:tc>
      </w:tr>
    </w:tbl>
    <w:p w:rsidR="00CA337C" w:rsidRDefault="005A6FD0" w:rsidP="006C5DC7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(A) </w:t>
      </w:r>
      <w:r w:rsidRPr="005A6FD0">
        <w:rPr>
          <w:rFonts w:ascii="Times New Roman" w:hAnsi="Times New Roman"/>
          <w:sz w:val="24"/>
          <w:szCs w:val="24"/>
        </w:rPr>
        <w:t>More peptide fragments were detected in PV</w:t>
      </w:r>
      <w:r w:rsidRPr="005A6FD0">
        <w:rPr>
          <w:rFonts w:ascii="Times New Roman" w:hAnsi="Times New Roman" w:hint="eastAsia"/>
          <w:sz w:val="24"/>
          <w:szCs w:val="24"/>
        </w:rPr>
        <w:t xml:space="preserve"> than in CV</w:t>
      </w:r>
      <w:r w:rsidRPr="005A6F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This result might reflect</w:t>
      </w:r>
      <w:r w:rsidRPr="005A6FD0">
        <w:rPr>
          <w:rFonts w:ascii="Times New Roman" w:hAnsi="Times New Roman"/>
          <w:sz w:val="24"/>
          <w:szCs w:val="24"/>
        </w:rPr>
        <w:t xml:space="preserve"> </w:t>
      </w:r>
      <w:r w:rsidR="00A27A13">
        <w:rPr>
          <w:rFonts w:ascii="Times New Roman" w:hAnsi="Times New Roman" w:hint="eastAsia"/>
          <w:sz w:val="24"/>
          <w:szCs w:val="24"/>
        </w:rPr>
        <w:t xml:space="preserve">PV </w:t>
      </w:r>
      <w:r w:rsidRPr="005A6FD0">
        <w:rPr>
          <w:rFonts w:ascii="Times New Roman" w:hAnsi="Times New Roman"/>
          <w:sz w:val="24"/>
          <w:szCs w:val="24"/>
        </w:rPr>
        <w:t>contain</w:t>
      </w:r>
      <w:r w:rsidR="00A27A13">
        <w:rPr>
          <w:rFonts w:ascii="Times New Roman" w:hAnsi="Times New Roman" w:hint="eastAsia"/>
          <w:sz w:val="24"/>
          <w:szCs w:val="24"/>
        </w:rPr>
        <w:t xml:space="preserve">ing more </w:t>
      </w:r>
      <w:r w:rsidRPr="005A6FD0">
        <w:rPr>
          <w:rFonts w:ascii="Times New Roman" w:hAnsi="Times New Roman"/>
          <w:sz w:val="24"/>
          <w:szCs w:val="24"/>
        </w:rPr>
        <w:t xml:space="preserve">humoral factors </w:t>
      </w:r>
      <w:r w:rsidR="00A27A13">
        <w:rPr>
          <w:rFonts w:ascii="Times New Roman" w:hAnsi="Times New Roman" w:hint="eastAsia"/>
          <w:sz w:val="24"/>
          <w:szCs w:val="24"/>
        </w:rPr>
        <w:t xml:space="preserve">than CV </w:t>
      </w:r>
      <w:r w:rsidRPr="005A6FD0">
        <w:rPr>
          <w:rFonts w:ascii="Times New Roman" w:hAnsi="Times New Roman"/>
          <w:sz w:val="24"/>
          <w:szCs w:val="24"/>
        </w:rPr>
        <w:t xml:space="preserve">that are capable of stimulating DNA </w:t>
      </w:r>
      <w:r w:rsidRPr="005A6FD0">
        <w:rPr>
          <w:rFonts w:ascii="Times New Roman" w:hAnsi="Times New Roman"/>
          <w:sz w:val="24"/>
          <w:szCs w:val="24"/>
        </w:rPr>
        <w:lastRenderedPageBreak/>
        <w:t>synthesis after PHx.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A27A13">
        <w:rPr>
          <w:rFonts w:ascii="Times New Roman" w:hAnsi="Times New Roman" w:hint="eastAsia"/>
          <w:sz w:val="24"/>
          <w:szCs w:val="24"/>
        </w:rPr>
        <w:t xml:space="preserve">(B) </w:t>
      </w:r>
      <w:r w:rsidR="00A27A13" w:rsidRPr="00A27A13">
        <w:rPr>
          <w:rFonts w:ascii="Times New Roman" w:hAnsi="Times New Roman"/>
          <w:sz w:val="24"/>
          <w:szCs w:val="24"/>
        </w:rPr>
        <w:t>More peptide fragments were observed in serum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 than in plasma</w:t>
      </w:r>
      <w:r w:rsidR="00A27A13" w:rsidRPr="00A27A13">
        <w:rPr>
          <w:rFonts w:ascii="Times New Roman" w:hAnsi="Times New Roman"/>
          <w:sz w:val="24"/>
          <w:szCs w:val="24"/>
        </w:rPr>
        <w:t>.</w:t>
      </w:r>
      <w:r w:rsidR="00A27A13">
        <w:rPr>
          <w:rFonts w:ascii="Times New Roman" w:hAnsi="Times New Roman" w:hint="eastAsia"/>
          <w:sz w:val="24"/>
          <w:szCs w:val="24"/>
        </w:rPr>
        <w:t xml:space="preserve"> 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The </w:t>
      </w:r>
      <w:r w:rsidR="00A27A13" w:rsidRPr="00A27A13">
        <w:rPr>
          <w:rFonts w:ascii="Times New Roman" w:hAnsi="Times New Roman"/>
          <w:sz w:val="24"/>
          <w:szCs w:val="24"/>
        </w:rPr>
        <w:t>lower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 </w:t>
      </w:r>
      <w:r w:rsidR="00A27A13" w:rsidRPr="00A27A13">
        <w:rPr>
          <w:rFonts w:ascii="Times New Roman" w:hAnsi="Times New Roman"/>
          <w:sz w:val="24"/>
          <w:szCs w:val="24"/>
        </w:rPr>
        <w:t>stability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 of peptide fragments in serum</w:t>
      </w:r>
      <w:r w:rsidR="00A27A13" w:rsidRPr="00A27A13">
        <w:rPr>
          <w:rFonts w:ascii="Times New Roman" w:hAnsi="Times New Roman"/>
          <w:sz w:val="24"/>
          <w:szCs w:val="24"/>
        </w:rPr>
        <w:t xml:space="preserve"> is considered to result from ex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 </w:t>
      </w:r>
      <w:r w:rsidR="00A27A13" w:rsidRPr="00A27A13">
        <w:rPr>
          <w:rFonts w:ascii="Times New Roman" w:hAnsi="Times New Roman"/>
          <w:sz w:val="24"/>
          <w:szCs w:val="24"/>
        </w:rPr>
        <w:t xml:space="preserve">vivo </w:t>
      </w:r>
      <w:proofErr w:type="spellStart"/>
      <w:r w:rsidR="00A27A13" w:rsidRPr="00A27A13">
        <w:rPr>
          <w:rFonts w:ascii="Times New Roman" w:hAnsi="Times New Roman"/>
          <w:sz w:val="24"/>
          <w:szCs w:val="24"/>
        </w:rPr>
        <w:t>multiprotease</w:t>
      </w:r>
      <w:proofErr w:type="spellEnd"/>
      <w:r w:rsidR="00A27A13" w:rsidRPr="00A27A13">
        <w:rPr>
          <w:rFonts w:ascii="Times New Roman" w:hAnsi="Times New Roman"/>
          <w:sz w:val="24"/>
          <w:szCs w:val="24"/>
        </w:rPr>
        <w:t xml:space="preserve"> activities due to clotting.</w:t>
      </w:r>
      <w:r w:rsidR="00A27A13">
        <w:rPr>
          <w:rFonts w:ascii="Times New Roman" w:hAnsi="Times New Roman" w:hint="eastAsia"/>
          <w:sz w:val="24"/>
          <w:szCs w:val="24"/>
        </w:rPr>
        <w:t xml:space="preserve"> </w:t>
      </w:r>
      <w:r w:rsidR="00A27A13" w:rsidRPr="00ED4D54">
        <w:rPr>
          <w:rFonts w:ascii="Times New Roman" w:hAnsi="Times New Roman"/>
          <w:sz w:val="24"/>
          <w:szCs w:val="24"/>
        </w:rPr>
        <w:t xml:space="preserve">The SVM analyses discriminated PV and CV, and serum and plasma with </w:t>
      </w:r>
      <w:r w:rsidR="00A27A13">
        <w:rPr>
          <w:rFonts w:ascii="Times New Roman" w:hAnsi="Times New Roman" w:hint="eastAsia"/>
          <w:sz w:val="24"/>
          <w:szCs w:val="24"/>
        </w:rPr>
        <w:t xml:space="preserve">a </w:t>
      </w:r>
      <w:r w:rsidR="00A27A13" w:rsidRPr="00ED4D54">
        <w:rPr>
          <w:rFonts w:ascii="Times New Roman" w:hAnsi="Times New Roman"/>
          <w:sz w:val="24"/>
          <w:szCs w:val="24"/>
        </w:rPr>
        <w:t>cross</w:t>
      </w:r>
      <w:r w:rsidR="00A27A13">
        <w:rPr>
          <w:rFonts w:ascii="Times New Roman" w:hAnsi="Times New Roman" w:hint="eastAsia"/>
          <w:sz w:val="24"/>
          <w:szCs w:val="24"/>
        </w:rPr>
        <w:t>-</w:t>
      </w:r>
      <w:r w:rsidR="00A27A13" w:rsidRPr="00ED4D54">
        <w:rPr>
          <w:rFonts w:ascii="Times New Roman" w:hAnsi="Times New Roman"/>
          <w:sz w:val="24"/>
          <w:szCs w:val="24"/>
        </w:rPr>
        <w:t xml:space="preserve">validation accuracy </w:t>
      </w:r>
      <w:r w:rsidR="00A27A13">
        <w:rPr>
          <w:rFonts w:ascii="Times New Roman" w:hAnsi="Times New Roman" w:hint="eastAsia"/>
          <w:sz w:val="24"/>
          <w:szCs w:val="24"/>
        </w:rPr>
        <w:t xml:space="preserve">of </w:t>
      </w:r>
      <w:r w:rsidR="00A27A13" w:rsidRPr="00ED4D54">
        <w:rPr>
          <w:rFonts w:ascii="Times New Roman" w:hAnsi="Times New Roman"/>
          <w:sz w:val="24"/>
          <w:szCs w:val="24"/>
        </w:rPr>
        <w:t>more than 88 and 93% at all timings, respectively.</w:t>
      </w:r>
      <w:r w:rsidR="00A27A13">
        <w:rPr>
          <w:rFonts w:ascii="Times New Roman" w:hAnsi="Times New Roman" w:hint="eastAsia"/>
          <w:sz w:val="24"/>
          <w:szCs w:val="24"/>
        </w:rPr>
        <w:t xml:space="preserve"> </w:t>
      </w:r>
      <w:r w:rsidR="00A27A13" w:rsidRPr="00A27A13">
        <w:rPr>
          <w:rFonts w:ascii="Times New Roman" w:hAnsi="Times New Roman"/>
          <w:sz w:val="24"/>
          <w:szCs w:val="24"/>
        </w:rPr>
        <w:t xml:space="preserve">In the present study, the plasma samples </w:t>
      </w:r>
      <w:r w:rsidR="00A27A13" w:rsidRPr="00A27A13">
        <w:rPr>
          <w:rFonts w:ascii="Times New Roman" w:hAnsi="Times New Roman" w:hint="eastAsia"/>
          <w:sz w:val="24"/>
          <w:szCs w:val="24"/>
        </w:rPr>
        <w:t>we</w:t>
      </w:r>
      <w:r w:rsidR="00A27A13" w:rsidRPr="00A27A13">
        <w:rPr>
          <w:rFonts w:ascii="Times New Roman" w:hAnsi="Times New Roman"/>
          <w:sz w:val="24"/>
          <w:szCs w:val="24"/>
        </w:rPr>
        <w:t xml:space="preserve">re analyzed 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to </w:t>
      </w:r>
      <w:r w:rsidR="00A27A13" w:rsidRPr="00A27A13">
        <w:rPr>
          <w:rFonts w:ascii="Times New Roman" w:hAnsi="Times New Roman"/>
          <w:sz w:val="24"/>
          <w:szCs w:val="24"/>
        </w:rPr>
        <w:t>detect endogenous peptides. Considering the difficulty in repeated sampling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 from PV,</w:t>
      </w:r>
      <w:r w:rsidR="00A27A13" w:rsidRPr="00A27A13">
        <w:rPr>
          <w:rFonts w:ascii="Times New Roman" w:hAnsi="Times New Roman"/>
          <w:sz w:val="24"/>
          <w:szCs w:val="24"/>
        </w:rPr>
        <w:t xml:space="preserve"> which </w:t>
      </w:r>
      <w:r w:rsidR="00A27A13" w:rsidRPr="00A27A13">
        <w:rPr>
          <w:rFonts w:ascii="Times New Roman" w:hAnsi="Times New Roman" w:hint="eastAsia"/>
          <w:sz w:val="24"/>
          <w:szCs w:val="24"/>
        </w:rPr>
        <w:t xml:space="preserve">otherwise </w:t>
      </w:r>
      <w:r w:rsidR="00A27A13" w:rsidRPr="00A27A13">
        <w:rPr>
          <w:rFonts w:ascii="Times New Roman" w:hAnsi="Times New Roman"/>
          <w:sz w:val="24"/>
          <w:szCs w:val="24"/>
        </w:rPr>
        <w:t xml:space="preserve">might be more informative, the </w:t>
      </w:r>
      <w:r w:rsidR="00A27A13" w:rsidRPr="00A27A13">
        <w:rPr>
          <w:rFonts w:ascii="Times New Roman" w:hAnsi="Times New Roman" w:hint="eastAsia"/>
          <w:sz w:val="24"/>
          <w:szCs w:val="24"/>
        </w:rPr>
        <w:t>CV</w:t>
      </w:r>
      <w:r w:rsidR="00A27A13" w:rsidRPr="00A27A13">
        <w:rPr>
          <w:rFonts w:ascii="Times New Roman" w:hAnsi="Times New Roman"/>
          <w:sz w:val="24"/>
          <w:szCs w:val="24"/>
        </w:rPr>
        <w:t xml:space="preserve"> specimens were used </w:t>
      </w:r>
      <w:r w:rsidR="00A27A13" w:rsidRPr="00A27A13">
        <w:rPr>
          <w:rFonts w:ascii="Times New Roman" w:hAnsi="Times New Roman" w:hint="eastAsia"/>
          <w:sz w:val="24"/>
          <w:szCs w:val="24"/>
        </w:rPr>
        <w:t>for</w:t>
      </w:r>
      <w:r w:rsidR="00A27A13" w:rsidRPr="00A27A13">
        <w:rPr>
          <w:rFonts w:ascii="Times New Roman" w:hAnsi="Times New Roman"/>
          <w:sz w:val="24"/>
          <w:szCs w:val="24"/>
        </w:rPr>
        <w:t xml:space="preserve"> further studies.</w:t>
      </w:r>
      <w:r w:rsidR="00A27A13">
        <w:rPr>
          <w:rFonts w:ascii="Times New Roman" w:hAnsi="Times New Roman" w:hint="eastAsia"/>
          <w:sz w:val="24"/>
          <w:szCs w:val="24"/>
        </w:rPr>
        <w:t xml:space="preserve"> </w:t>
      </w:r>
      <w:r w:rsidR="00CA337C" w:rsidRPr="00ED4D54">
        <w:rPr>
          <w:rFonts w:ascii="Times New Roman" w:hAnsi="Times New Roman"/>
          <w:sz w:val="24"/>
          <w:szCs w:val="24"/>
        </w:rPr>
        <w:t xml:space="preserve">*Differences with AUC calculated by ROC </w:t>
      </w:r>
      <w:r w:rsidR="006C5DC7">
        <w:rPr>
          <w:rFonts w:ascii="Times New Roman" w:hAnsi="Times New Roman" w:hint="eastAsia"/>
          <w:sz w:val="24"/>
          <w:szCs w:val="24"/>
        </w:rPr>
        <w:t xml:space="preserve">curve </w:t>
      </w:r>
      <w:r w:rsidR="00CA337C" w:rsidRPr="00ED4D54">
        <w:rPr>
          <w:rFonts w:ascii="Times New Roman" w:hAnsi="Times New Roman"/>
          <w:sz w:val="24"/>
          <w:szCs w:val="24"/>
        </w:rPr>
        <w:t xml:space="preserve">analysis &gt; 0.8 were considered to be significant. </w:t>
      </w:r>
      <w:r w:rsidR="00CA337C" w:rsidRPr="000E5DCE">
        <w:rPr>
          <w:rFonts w:ascii="Times New Roman" w:hAnsi="Times New Roman"/>
          <w:sz w:val="24"/>
          <w:szCs w:val="24"/>
        </w:rPr>
        <w:t xml:space="preserve">Peaks were described with </w:t>
      </w:r>
      <w:r w:rsidR="00CA337C" w:rsidRPr="000E5DCE">
        <w:rPr>
          <w:rFonts w:ascii="Times New Roman" w:hAnsi="Times New Roman"/>
          <w:i/>
          <w:sz w:val="24"/>
          <w:szCs w:val="24"/>
        </w:rPr>
        <w:t>m/z</w:t>
      </w:r>
      <w:r w:rsidR="00CA337C" w:rsidRPr="000E5DCE">
        <w:rPr>
          <w:rFonts w:ascii="Times New Roman" w:hAnsi="Times New Roman"/>
          <w:sz w:val="24"/>
          <w:szCs w:val="24"/>
        </w:rPr>
        <w:t xml:space="preserve"> values</w:t>
      </w:r>
      <w:r w:rsidR="00CA337C">
        <w:rPr>
          <w:rFonts w:ascii="Times New Roman" w:hAnsi="Times New Roman"/>
          <w:sz w:val="24"/>
          <w:szCs w:val="24"/>
        </w:rPr>
        <w:t>.</w:t>
      </w:r>
      <w:r w:rsidR="00CA337C" w:rsidRPr="000E5DCE">
        <w:rPr>
          <w:rFonts w:ascii="Times New Roman" w:hAnsi="Times New Roman"/>
          <w:sz w:val="24"/>
          <w:szCs w:val="24"/>
        </w:rPr>
        <w:t xml:space="preserve"> </w:t>
      </w:r>
      <w:r w:rsidR="00CA337C" w:rsidRPr="00ED4D54">
        <w:rPr>
          <w:rFonts w:ascii="Times New Roman" w:hAnsi="Times New Roman"/>
          <w:sz w:val="24"/>
          <w:szCs w:val="24"/>
        </w:rPr>
        <w:t>Five and 4 pigs were used for analyses of (A) and (B), respectively</w:t>
      </w:r>
      <w:r w:rsidR="00CA337C">
        <w:rPr>
          <w:rFonts w:ascii="Times New Roman" w:hAnsi="Times New Roman"/>
          <w:sz w:val="24"/>
          <w:szCs w:val="24"/>
        </w:rPr>
        <w:t xml:space="preserve">. PV, portal vein; CV, central vein; AUC, area under </w:t>
      </w:r>
      <w:r w:rsidR="00BE0E07">
        <w:rPr>
          <w:rFonts w:ascii="Times New Roman" w:hAnsi="Times New Roman" w:hint="eastAsia"/>
          <w:sz w:val="24"/>
          <w:szCs w:val="24"/>
        </w:rPr>
        <w:t xml:space="preserve">the </w:t>
      </w:r>
      <w:r w:rsidR="00CA337C">
        <w:rPr>
          <w:rFonts w:ascii="Times New Roman" w:hAnsi="Times New Roman"/>
          <w:sz w:val="24"/>
          <w:szCs w:val="24"/>
        </w:rPr>
        <w:t xml:space="preserve">curve; ROC, receiver operating characteristics; </w:t>
      </w:r>
      <w:r w:rsidR="00CA337C" w:rsidRPr="000E5DCE">
        <w:rPr>
          <w:rFonts w:ascii="Times New Roman" w:hAnsi="Times New Roman"/>
          <w:i/>
          <w:sz w:val="24"/>
          <w:szCs w:val="24"/>
        </w:rPr>
        <w:t>m/z</w:t>
      </w:r>
      <w:r w:rsidR="00CA337C">
        <w:rPr>
          <w:rFonts w:ascii="Times New Roman" w:hAnsi="Times New Roman"/>
          <w:sz w:val="24"/>
          <w:szCs w:val="24"/>
        </w:rPr>
        <w:t>, mass to charge ratio.</w:t>
      </w:r>
    </w:p>
    <w:p w:rsidR="00CA337C" w:rsidRDefault="00CA337C" w:rsidP="00CA337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C0294" w:rsidRPr="00CA337C" w:rsidRDefault="007C0294">
      <w:bookmarkStart w:id="0" w:name="_GoBack"/>
      <w:bookmarkEnd w:id="0"/>
    </w:p>
    <w:sectPr w:rsidR="007C0294" w:rsidRPr="00CA337C" w:rsidSect="008E370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42" w:rsidRDefault="00F72142" w:rsidP="006C5DC7">
      <w:r>
        <w:separator/>
      </w:r>
    </w:p>
  </w:endnote>
  <w:endnote w:type="continuationSeparator" w:id="0">
    <w:p w:rsidR="00F72142" w:rsidRDefault="00F72142" w:rsidP="006C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42" w:rsidRDefault="00F72142" w:rsidP="006C5DC7">
      <w:r>
        <w:separator/>
      </w:r>
    </w:p>
  </w:footnote>
  <w:footnote w:type="continuationSeparator" w:id="0">
    <w:p w:rsidR="00F72142" w:rsidRDefault="00F72142" w:rsidP="006C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180"/>
      <w:docPartObj>
        <w:docPartGallery w:val="Page Numbers (Top of Page)"/>
        <w:docPartUnique/>
      </w:docPartObj>
    </w:sdtPr>
    <w:sdtContent>
      <w:p w:rsidR="008E3700" w:rsidRDefault="0092626F">
        <w:pPr>
          <w:pStyle w:val="a3"/>
          <w:jc w:val="right"/>
        </w:pPr>
        <w:fldSimple w:instr=" PAGE   \* MERGEFORMAT ">
          <w:r w:rsidR="00A13342" w:rsidRPr="00A13342">
            <w:rPr>
              <w:noProof/>
              <w:lang w:val="ja-JP"/>
            </w:rPr>
            <w:t>1</w:t>
          </w:r>
        </w:fldSimple>
      </w:p>
    </w:sdtContent>
  </w:sdt>
  <w:p w:rsidR="008E3700" w:rsidRDefault="008E37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37C"/>
    <w:rsid w:val="00133B9A"/>
    <w:rsid w:val="00147CB2"/>
    <w:rsid w:val="001B38FA"/>
    <w:rsid w:val="002A5F29"/>
    <w:rsid w:val="003E0082"/>
    <w:rsid w:val="00420E2F"/>
    <w:rsid w:val="00520482"/>
    <w:rsid w:val="005402D0"/>
    <w:rsid w:val="005405D5"/>
    <w:rsid w:val="005A6FD0"/>
    <w:rsid w:val="00605545"/>
    <w:rsid w:val="006A5DE4"/>
    <w:rsid w:val="006C5DC7"/>
    <w:rsid w:val="007C0294"/>
    <w:rsid w:val="008E3700"/>
    <w:rsid w:val="0092626F"/>
    <w:rsid w:val="00994933"/>
    <w:rsid w:val="009C53B9"/>
    <w:rsid w:val="00A13342"/>
    <w:rsid w:val="00A27A13"/>
    <w:rsid w:val="00A357A8"/>
    <w:rsid w:val="00A377DB"/>
    <w:rsid w:val="00BE0E07"/>
    <w:rsid w:val="00BE1371"/>
    <w:rsid w:val="00C06880"/>
    <w:rsid w:val="00CA337C"/>
    <w:rsid w:val="00D44E02"/>
    <w:rsid w:val="00E15C5D"/>
    <w:rsid w:val="00E45574"/>
    <w:rsid w:val="00E603BF"/>
    <w:rsid w:val="00ED2183"/>
    <w:rsid w:val="00F21D0B"/>
    <w:rsid w:val="00F72142"/>
    <w:rsid w:val="00F9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33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PlainTable2">
    <w:name w:val="Plain Table 2"/>
    <w:basedOn w:val="a1"/>
    <w:uiPriority w:val="42"/>
    <w:rsid w:val="00CA33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b/>
        <w:bCs/>
        <w:i/>
        <w:iCs/>
        <w:caps/>
        <w:sz w:val="26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caps/>
        <w:sz w:val="26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/>
        <w:iCs/>
        <w:cap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caps/>
        <w:sz w:val="26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DC7"/>
  </w:style>
  <w:style w:type="paragraph" w:styleId="a5">
    <w:name w:val="footer"/>
    <w:basedOn w:val="a"/>
    <w:link w:val="a6"/>
    <w:uiPriority w:val="99"/>
    <w:semiHidden/>
    <w:unhideWhenUsed/>
    <w:rsid w:val="006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C5DC7"/>
  </w:style>
  <w:style w:type="paragraph" w:styleId="a7">
    <w:name w:val="No Spacing"/>
    <w:link w:val="a8"/>
    <w:uiPriority w:val="1"/>
    <w:qFormat/>
    <w:rsid w:val="008E3700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8E3700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E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3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Table S-1. The peak list that had a significant difference* in intensity between (A) PV and CV and (B) serum and plasma.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Supporting Information</vt:lpstr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Swine Plasma Peptidomics: Detecting Native Biomarker Peptides of Liver Regeneration in a Swine Partial Hepatectomy Model</dc:subject>
  <dc:creator>Kohta Iguchi</dc:creator>
  <cp:lastModifiedBy>Kohta</cp:lastModifiedBy>
  <cp:revision>11</cp:revision>
  <dcterms:created xsi:type="dcterms:W3CDTF">2016-07-13T03:54:00Z</dcterms:created>
  <dcterms:modified xsi:type="dcterms:W3CDTF">2016-10-13T06:28:00Z</dcterms:modified>
</cp:coreProperties>
</file>