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E6" w:rsidRDefault="00DA48E6" w:rsidP="00DA48E6">
      <w:pPr>
        <w:pStyle w:val="Heading1"/>
        <w:spacing w:line="480" w:lineRule="auto"/>
      </w:pPr>
      <w:r>
        <w:t>Su</w:t>
      </w:r>
      <w:bookmarkStart w:id="0" w:name="_GoBack"/>
      <w:bookmarkEnd w:id="0"/>
      <w:r>
        <w:t>pporting Information</w:t>
      </w:r>
    </w:p>
    <w:p w:rsidR="00DA48E6" w:rsidRDefault="00DA48E6" w:rsidP="00DA48E6">
      <w:pPr>
        <w:pStyle w:val="Heading2"/>
        <w:spacing w:line="480" w:lineRule="auto"/>
      </w:pPr>
      <w:r>
        <w:t>S1 Appendix</w:t>
      </w:r>
    </w:p>
    <w:p w:rsidR="00DA48E6" w:rsidRDefault="00DA48E6" w:rsidP="00DA48E6">
      <w:pPr>
        <w:spacing w:line="480" w:lineRule="auto"/>
      </w:pPr>
      <w:r>
        <w:t>Results indicating importance of recognising Important Plant Areas in addition to the current protected areas network of the Falkland Islands; the table shows percentage overlap between environmentally suitable sites for species at risk of extinction and National Nature Reserves (NNRs) or Important Plant Areas (IPAs) under the current climatic conditions and those predicted in the short, medium and long-term.</w:t>
      </w:r>
    </w:p>
    <w:tbl>
      <w:tblPr>
        <w:tblStyle w:val="TableGrid"/>
        <w:tblW w:w="99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1200"/>
        <w:gridCol w:w="1200"/>
        <w:gridCol w:w="1201"/>
        <w:gridCol w:w="1200"/>
        <w:gridCol w:w="1200"/>
        <w:gridCol w:w="1201"/>
      </w:tblGrid>
      <w:tr w:rsidR="00DA48E6" w:rsidRPr="00B71A0E" w:rsidTr="00757E53">
        <w:trPr>
          <w:trHeight w:val="522"/>
          <w:jc w:val="center"/>
        </w:trPr>
        <w:tc>
          <w:tcPr>
            <w:tcW w:w="2741" w:type="dxa"/>
            <w:tcBorders>
              <w:top w:val="single" w:sz="4" w:space="0" w:color="auto"/>
              <w:bottom w:val="single" w:sz="4" w:space="0" w:color="auto"/>
            </w:tcBorders>
            <w:vAlign w:val="bottom"/>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vAlign w:val="bottom"/>
          </w:tcPr>
          <w:p w:rsidR="00DA48E6" w:rsidRPr="00392795" w:rsidRDefault="00DA48E6" w:rsidP="00757E53">
            <w:pPr>
              <w:spacing w:line="480" w:lineRule="auto"/>
              <w:rPr>
                <w:b/>
                <w:sz w:val="18"/>
                <w:szCs w:val="18"/>
              </w:rPr>
            </w:pPr>
            <w:r w:rsidRPr="00392795">
              <w:rPr>
                <w:b/>
                <w:sz w:val="18"/>
                <w:szCs w:val="18"/>
              </w:rPr>
              <w:t>Time period</w:t>
            </w:r>
          </w:p>
        </w:tc>
        <w:tc>
          <w:tcPr>
            <w:tcW w:w="1200"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Acaena</w:t>
            </w:r>
            <w:proofErr w:type="spellEnd"/>
            <w:r w:rsidRPr="00392795">
              <w:rPr>
                <w:b/>
                <w:i/>
                <w:sz w:val="18"/>
                <w:szCs w:val="18"/>
              </w:rPr>
              <w:t xml:space="preserve"> </w:t>
            </w:r>
            <w:proofErr w:type="spellStart"/>
            <w:r w:rsidRPr="00392795">
              <w:rPr>
                <w:b/>
                <w:i/>
                <w:sz w:val="18"/>
                <w:szCs w:val="18"/>
              </w:rPr>
              <w:t>antarctica</w:t>
            </w:r>
            <w:proofErr w:type="spellEnd"/>
          </w:p>
        </w:tc>
        <w:tc>
          <w:tcPr>
            <w:tcW w:w="1201"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Azorella</w:t>
            </w:r>
            <w:proofErr w:type="spellEnd"/>
            <w:r w:rsidRPr="00392795">
              <w:rPr>
                <w:b/>
                <w:i/>
                <w:sz w:val="18"/>
                <w:szCs w:val="18"/>
              </w:rPr>
              <w:t xml:space="preserve"> </w:t>
            </w:r>
            <w:proofErr w:type="spellStart"/>
            <w:r w:rsidRPr="00392795">
              <w:rPr>
                <w:b/>
                <w:i/>
                <w:sz w:val="18"/>
                <w:szCs w:val="18"/>
              </w:rPr>
              <w:t>selago</w:t>
            </w:r>
            <w:proofErr w:type="spellEnd"/>
          </w:p>
        </w:tc>
        <w:tc>
          <w:tcPr>
            <w:tcW w:w="1200"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Nassauvia</w:t>
            </w:r>
            <w:proofErr w:type="spellEnd"/>
            <w:r w:rsidRPr="00392795">
              <w:rPr>
                <w:b/>
                <w:i/>
                <w:sz w:val="18"/>
                <w:szCs w:val="18"/>
              </w:rPr>
              <w:t xml:space="preserve"> </w:t>
            </w:r>
            <w:proofErr w:type="spellStart"/>
            <w:r w:rsidRPr="00392795">
              <w:rPr>
                <w:b/>
                <w:i/>
                <w:sz w:val="18"/>
                <w:szCs w:val="18"/>
              </w:rPr>
              <w:t>falklandica</w:t>
            </w:r>
            <w:proofErr w:type="spellEnd"/>
          </w:p>
        </w:tc>
        <w:tc>
          <w:tcPr>
            <w:tcW w:w="1200"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Nastanthus</w:t>
            </w:r>
            <w:proofErr w:type="spellEnd"/>
            <w:r w:rsidRPr="00392795">
              <w:rPr>
                <w:b/>
                <w:i/>
                <w:sz w:val="18"/>
                <w:szCs w:val="18"/>
              </w:rPr>
              <w:t xml:space="preserve"> </w:t>
            </w:r>
            <w:proofErr w:type="spellStart"/>
            <w:r w:rsidRPr="00392795">
              <w:rPr>
                <w:b/>
                <w:i/>
                <w:sz w:val="18"/>
                <w:szCs w:val="18"/>
              </w:rPr>
              <w:t>falklandicus</w:t>
            </w:r>
            <w:proofErr w:type="spellEnd"/>
          </w:p>
        </w:tc>
        <w:tc>
          <w:tcPr>
            <w:tcW w:w="1201"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Plantago</w:t>
            </w:r>
            <w:proofErr w:type="spellEnd"/>
            <w:r w:rsidRPr="00392795">
              <w:rPr>
                <w:b/>
                <w:i/>
                <w:sz w:val="18"/>
                <w:szCs w:val="18"/>
              </w:rPr>
              <w:t xml:space="preserve"> </w:t>
            </w:r>
            <w:proofErr w:type="spellStart"/>
            <w:r w:rsidRPr="00392795">
              <w:rPr>
                <w:b/>
                <w:i/>
                <w:sz w:val="18"/>
                <w:szCs w:val="18"/>
              </w:rPr>
              <w:t>moorei</w:t>
            </w:r>
            <w:proofErr w:type="spellEnd"/>
          </w:p>
        </w:tc>
      </w:tr>
      <w:tr w:rsidR="00DA48E6" w:rsidRPr="00B71A0E" w:rsidTr="00757E53">
        <w:trPr>
          <w:trHeight w:val="349"/>
          <w:jc w:val="center"/>
        </w:trPr>
        <w:tc>
          <w:tcPr>
            <w:tcW w:w="2741" w:type="dxa"/>
            <w:vMerge w:val="restart"/>
            <w:tcBorders>
              <w:top w:val="single" w:sz="4" w:space="0" w:color="auto"/>
            </w:tcBorders>
          </w:tcPr>
          <w:p w:rsidR="00DA48E6" w:rsidRPr="00392795" w:rsidRDefault="00DA48E6" w:rsidP="00757E53">
            <w:pPr>
              <w:spacing w:line="480" w:lineRule="auto"/>
              <w:rPr>
                <w:b/>
                <w:sz w:val="18"/>
                <w:szCs w:val="18"/>
              </w:rPr>
            </w:pPr>
            <w:r w:rsidRPr="00392795">
              <w:rPr>
                <w:b/>
                <w:sz w:val="18"/>
                <w:szCs w:val="18"/>
              </w:rPr>
              <w:t>Percentage of environmentally suitable geographical space that overlaps with NNR network (km</w:t>
            </w:r>
            <w:r w:rsidRPr="00392795">
              <w:rPr>
                <w:b/>
                <w:sz w:val="18"/>
                <w:szCs w:val="18"/>
                <w:vertAlign w:val="superscript"/>
              </w:rPr>
              <w:t>2</w:t>
            </w:r>
            <w:r w:rsidRPr="00392795">
              <w:rPr>
                <w:b/>
                <w:sz w:val="18"/>
                <w:szCs w:val="18"/>
              </w:rPr>
              <w:t>)</w:t>
            </w: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Present day</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18.47</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14.00</w:t>
            </w:r>
          </w:p>
        </w:tc>
      </w:tr>
      <w:tr w:rsidR="00DA48E6" w:rsidRPr="00B71A0E" w:rsidTr="00757E53">
        <w:trPr>
          <w:trHeight w:val="395"/>
          <w:jc w:val="center"/>
        </w:trPr>
        <w:tc>
          <w:tcPr>
            <w:tcW w:w="2741" w:type="dxa"/>
            <w:vMerge/>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2020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20.18 (±0.53)</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8.48 (±0.66)</w:t>
            </w:r>
          </w:p>
        </w:tc>
      </w:tr>
      <w:tr w:rsidR="00DA48E6" w:rsidRPr="00B71A0E" w:rsidTr="00757E53">
        <w:trPr>
          <w:trHeight w:val="313"/>
          <w:jc w:val="center"/>
        </w:trPr>
        <w:tc>
          <w:tcPr>
            <w:tcW w:w="2741" w:type="dxa"/>
            <w:vMerge/>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2050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10.25 (±0.86)</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3.58 (±0.52)</w:t>
            </w:r>
          </w:p>
        </w:tc>
      </w:tr>
      <w:tr w:rsidR="00DA48E6" w:rsidRPr="00B71A0E" w:rsidTr="00757E53">
        <w:trPr>
          <w:trHeight w:val="392"/>
          <w:jc w:val="center"/>
        </w:trPr>
        <w:tc>
          <w:tcPr>
            <w:tcW w:w="2741" w:type="dxa"/>
            <w:vMerge/>
            <w:tcBorders>
              <w:bottom w:val="single" w:sz="4" w:space="0" w:color="auto"/>
            </w:tcBorders>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2080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7.06 (±0.85)</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r>
      <w:tr w:rsidR="00DA48E6" w:rsidRPr="00B71A0E" w:rsidTr="00757E53">
        <w:trPr>
          <w:trHeight w:val="426"/>
          <w:jc w:val="center"/>
        </w:trPr>
        <w:tc>
          <w:tcPr>
            <w:tcW w:w="2741" w:type="dxa"/>
            <w:vMerge w:val="restart"/>
            <w:tcBorders>
              <w:top w:val="single" w:sz="4" w:space="0" w:color="auto"/>
            </w:tcBorders>
          </w:tcPr>
          <w:p w:rsidR="00DA48E6" w:rsidRPr="00392795" w:rsidRDefault="00DA48E6" w:rsidP="00757E53">
            <w:pPr>
              <w:spacing w:line="480" w:lineRule="auto"/>
              <w:rPr>
                <w:b/>
                <w:sz w:val="18"/>
                <w:szCs w:val="18"/>
              </w:rPr>
            </w:pPr>
            <w:r w:rsidRPr="00392795">
              <w:rPr>
                <w:b/>
                <w:sz w:val="18"/>
                <w:szCs w:val="18"/>
              </w:rPr>
              <w:t>Percentage of environmentally suitable geographical space that overlaps with identified IPA network (km</w:t>
            </w:r>
            <w:r w:rsidRPr="00392795">
              <w:rPr>
                <w:b/>
                <w:sz w:val="18"/>
                <w:szCs w:val="18"/>
                <w:vertAlign w:val="superscript"/>
              </w:rPr>
              <w:t>2</w:t>
            </w:r>
            <w:r w:rsidRPr="00392795">
              <w:rPr>
                <w:b/>
                <w:sz w:val="18"/>
                <w:szCs w:val="18"/>
              </w:rPr>
              <w:t>)</w:t>
            </w: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Present day</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67.71</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43.49</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48.11</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49.02</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58.55</w:t>
            </w:r>
          </w:p>
        </w:tc>
      </w:tr>
      <w:tr w:rsidR="00DA48E6" w:rsidRPr="00B71A0E" w:rsidTr="00757E53">
        <w:trPr>
          <w:trHeight w:val="403"/>
          <w:jc w:val="center"/>
        </w:trPr>
        <w:tc>
          <w:tcPr>
            <w:tcW w:w="2741" w:type="dxa"/>
            <w:vMerge/>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2020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19.86 (±1.93)</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17.17 (±1.06)</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20.86 (±1.40)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34.59 (±0.75)</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9.54 (±1.24)</w:t>
            </w:r>
          </w:p>
        </w:tc>
      </w:tr>
      <w:tr w:rsidR="00DA48E6" w:rsidRPr="00B71A0E" w:rsidTr="00757E53">
        <w:trPr>
          <w:trHeight w:val="423"/>
          <w:jc w:val="center"/>
        </w:trPr>
        <w:tc>
          <w:tcPr>
            <w:tcW w:w="2741" w:type="dxa"/>
            <w:vMerge/>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2050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8.15 (±0.94)</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5.72 (±0.41)</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7.27 (±0.67)</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24.62 (±1.25)</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0.40 (±0.06)</w:t>
            </w:r>
          </w:p>
        </w:tc>
      </w:tr>
      <w:tr w:rsidR="00DA48E6" w:rsidRPr="00B71A0E" w:rsidTr="00757E53">
        <w:trPr>
          <w:trHeight w:val="422"/>
          <w:jc w:val="center"/>
        </w:trPr>
        <w:tc>
          <w:tcPr>
            <w:tcW w:w="2741" w:type="dxa"/>
            <w:vMerge/>
            <w:tcBorders>
              <w:bottom w:val="single" w:sz="4" w:space="0" w:color="auto"/>
            </w:tcBorders>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2080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2.59 (±0.48)</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0.97 (±0.11)</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1.95 (±0.32)</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29.10 (±2.22)</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r>
    </w:tbl>
    <w:p w:rsidR="00DA48E6" w:rsidRDefault="00DA48E6" w:rsidP="00DA48E6">
      <w:pPr>
        <w:pStyle w:val="NoSpacing"/>
        <w:spacing w:line="480" w:lineRule="auto"/>
        <w:jc w:val="both"/>
      </w:pPr>
    </w:p>
    <w:p w:rsidR="00DA48E6" w:rsidRDefault="00DA48E6" w:rsidP="00DA48E6">
      <w:pPr>
        <w:pStyle w:val="Heading1"/>
        <w:spacing w:line="480" w:lineRule="auto"/>
      </w:pPr>
      <w:r>
        <w:lastRenderedPageBreak/>
        <w:t>Supporting Information</w:t>
      </w:r>
    </w:p>
    <w:p w:rsidR="00DA48E6" w:rsidRDefault="00DA48E6" w:rsidP="00DA48E6">
      <w:pPr>
        <w:pStyle w:val="Heading2"/>
        <w:spacing w:line="480" w:lineRule="auto"/>
      </w:pPr>
      <w:r>
        <w:t>S1 Appendix</w:t>
      </w:r>
    </w:p>
    <w:p w:rsidR="00DA48E6" w:rsidRDefault="00DA48E6" w:rsidP="00DA48E6">
      <w:pPr>
        <w:spacing w:line="480" w:lineRule="auto"/>
      </w:pPr>
      <w:r>
        <w:t>Results indicating importance of recognising Important Plant Areas in addition to the current protected areas network of the Falkland Islands; the table shows percentage overlap between environmentally suitable sites for species at risk of extinction and National Nature Reserves (NNRs) or Important Plant Areas (IPAs) under the current climatic conditions and those predicted in the short, medium and long-term.</w:t>
      </w:r>
    </w:p>
    <w:tbl>
      <w:tblPr>
        <w:tblStyle w:val="TableGrid"/>
        <w:tblW w:w="99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1200"/>
        <w:gridCol w:w="1200"/>
        <w:gridCol w:w="1201"/>
        <w:gridCol w:w="1200"/>
        <w:gridCol w:w="1200"/>
        <w:gridCol w:w="1201"/>
      </w:tblGrid>
      <w:tr w:rsidR="00DA48E6" w:rsidRPr="00B71A0E" w:rsidTr="00757E53">
        <w:trPr>
          <w:trHeight w:val="522"/>
          <w:jc w:val="center"/>
        </w:trPr>
        <w:tc>
          <w:tcPr>
            <w:tcW w:w="2741" w:type="dxa"/>
            <w:tcBorders>
              <w:top w:val="single" w:sz="4" w:space="0" w:color="auto"/>
              <w:bottom w:val="single" w:sz="4" w:space="0" w:color="auto"/>
            </w:tcBorders>
            <w:vAlign w:val="bottom"/>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vAlign w:val="bottom"/>
          </w:tcPr>
          <w:p w:rsidR="00DA48E6" w:rsidRPr="00392795" w:rsidRDefault="00DA48E6" w:rsidP="00757E53">
            <w:pPr>
              <w:spacing w:line="480" w:lineRule="auto"/>
              <w:rPr>
                <w:b/>
                <w:sz w:val="18"/>
                <w:szCs w:val="18"/>
              </w:rPr>
            </w:pPr>
            <w:r w:rsidRPr="00392795">
              <w:rPr>
                <w:b/>
                <w:sz w:val="18"/>
                <w:szCs w:val="18"/>
              </w:rPr>
              <w:t>Time period</w:t>
            </w:r>
          </w:p>
        </w:tc>
        <w:tc>
          <w:tcPr>
            <w:tcW w:w="1200"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Acaena</w:t>
            </w:r>
            <w:proofErr w:type="spellEnd"/>
            <w:r w:rsidRPr="00392795">
              <w:rPr>
                <w:b/>
                <w:i/>
                <w:sz w:val="18"/>
                <w:szCs w:val="18"/>
              </w:rPr>
              <w:t xml:space="preserve"> </w:t>
            </w:r>
            <w:proofErr w:type="spellStart"/>
            <w:r w:rsidRPr="00392795">
              <w:rPr>
                <w:b/>
                <w:i/>
                <w:sz w:val="18"/>
                <w:szCs w:val="18"/>
              </w:rPr>
              <w:t>antarctica</w:t>
            </w:r>
            <w:proofErr w:type="spellEnd"/>
          </w:p>
        </w:tc>
        <w:tc>
          <w:tcPr>
            <w:tcW w:w="1201"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Azorella</w:t>
            </w:r>
            <w:proofErr w:type="spellEnd"/>
            <w:r w:rsidRPr="00392795">
              <w:rPr>
                <w:b/>
                <w:i/>
                <w:sz w:val="18"/>
                <w:szCs w:val="18"/>
              </w:rPr>
              <w:t xml:space="preserve"> </w:t>
            </w:r>
            <w:proofErr w:type="spellStart"/>
            <w:r w:rsidRPr="00392795">
              <w:rPr>
                <w:b/>
                <w:i/>
                <w:sz w:val="18"/>
                <w:szCs w:val="18"/>
              </w:rPr>
              <w:t>selago</w:t>
            </w:r>
            <w:proofErr w:type="spellEnd"/>
          </w:p>
        </w:tc>
        <w:tc>
          <w:tcPr>
            <w:tcW w:w="1200"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Nassauvia</w:t>
            </w:r>
            <w:proofErr w:type="spellEnd"/>
            <w:r w:rsidRPr="00392795">
              <w:rPr>
                <w:b/>
                <w:i/>
                <w:sz w:val="18"/>
                <w:szCs w:val="18"/>
              </w:rPr>
              <w:t xml:space="preserve"> </w:t>
            </w:r>
            <w:proofErr w:type="spellStart"/>
            <w:r w:rsidRPr="00392795">
              <w:rPr>
                <w:b/>
                <w:i/>
                <w:sz w:val="18"/>
                <w:szCs w:val="18"/>
              </w:rPr>
              <w:t>falklandica</w:t>
            </w:r>
            <w:proofErr w:type="spellEnd"/>
          </w:p>
        </w:tc>
        <w:tc>
          <w:tcPr>
            <w:tcW w:w="1200"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Nastanthus</w:t>
            </w:r>
            <w:proofErr w:type="spellEnd"/>
            <w:r w:rsidRPr="00392795">
              <w:rPr>
                <w:b/>
                <w:i/>
                <w:sz w:val="18"/>
                <w:szCs w:val="18"/>
              </w:rPr>
              <w:t xml:space="preserve"> </w:t>
            </w:r>
            <w:proofErr w:type="spellStart"/>
            <w:r w:rsidRPr="00392795">
              <w:rPr>
                <w:b/>
                <w:i/>
                <w:sz w:val="18"/>
                <w:szCs w:val="18"/>
              </w:rPr>
              <w:t>falklandicus</w:t>
            </w:r>
            <w:proofErr w:type="spellEnd"/>
          </w:p>
        </w:tc>
        <w:tc>
          <w:tcPr>
            <w:tcW w:w="1201" w:type="dxa"/>
            <w:tcBorders>
              <w:top w:val="single" w:sz="4" w:space="0" w:color="auto"/>
              <w:bottom w:val="single" w:sz="4" w:space="0" w:color="auto"/>
            </w:tcBorders>
            <w:vAlign w:val="bottom"/>
          </w:tcPr>
          <w:p w:rsidR="00DA48E6" w:rsidRPr="00392795" w:rsidRDefault="00DA48E6" w:rsidP="00757E53">
            <w:pPr>
              <w:spacing w:line="480" w:lineRule="auto"/>
              <w:rPr>
                <w:b/>
                <w:i/>
                <w:sz w:val="18"/>
                <w:szCs w:val="18"/>
              </w:rPr>
            </w:pPr>
            <w:proofErr w:type="spellStart"/>
            <w:r w:rsidRPr="00392795">
              <w:rPr>
                <w:b/>
                <w:i/>
                <w:sz w:val="18"/>
                <w:szCs w:val="18"/>
              </w:rPr>
              <w:t>Plantago</w:t>
            </w:r>
            <w:proofErr w:type="spellEnd"/>
            <w:r w:rsidRPr="00392795">
              <w:rPr>
                <w:b/>
                <w:i/>
                <w:sz w:val="18"/>
                <w:szCs w:val="18"/>
              </w:rPr>
              <w:t xml:space="preserve"> </w:t>
            </w:r>
            <w:proofErr w:type="spellStart"/>
            <w:r w:rsidRPr="00392795">
              <w:rPr>
                <w:b/>
                <w:i/>
                <w:sz w:val="18"/>
                <w:szCs w:val="18"/>
              </w:rPr>
              <w:t>moorei</w:t>
            </w:r>
            <w:proofErr w:type="spellEnd"/>
          </w:p>
        </w:tc>
      </w:tr>
      <w:tr w:rsidR="00DA48E6" w:rsidRPr="00B71A0E" w:rsidTr="00757E53">
        <w:trPr>
          <w:trHeight w:val="349"/>
          <w:jc w:val="center"/>
        </w:trPr>
        <w:tc>
          <w:tcPr>
            <w:tcW w:w="2741" w:type="dxa"/>
            <w:vMerge w:val="restart"/>
            <w:tcBorders>
              <w:top w:val="single" w:sz="4" w:space="0" w:color="auto"/>
            </w:tcBorders>
          </w:tcPr>
          <w:p w:rsidR="00DA48E6" w:rsidRPr="00392795" w:rsidRDefault="00DA48E6" w:rsidP="00757E53">
            <w:pPr>
              <w:spacing w:line="480" w:lineRule="auto"/>
              <w:rPr>
                <w:b/>
                <w:sz w:val="18"/>
                <w:szCs w:val="18"/>
              </w:rPr>
            </w:pPr>
            <w:r w:rsidRPr="00392795">
              <w:rPr>
                <w:b/>
                <w:sz w:val="18"/>
                <w:szCs w:val="18"/>
              </w:rPr>
              <w:t>Percentage of environmentally suitable geographical space that overlaps with NNR network (km</w:t>
            </w:r>
            <w:r w:rsidRPr="00392795">
              <w:rPr>
                <w:b/>
                <w:sz w:val="18"/>
                <w:szCs w:val="18"/>
                <w:vertAlign w:val="superscript"/>
              </w:rPr>
              <w:t>2</w:t>
            </w:r>
            <w:r w:rsidRPr="00392795">
              <w:rPr>
                <w:b/>
                <w:sz w:val="18"/>
                <w:szCs w:val="18"/>
              </w:rPr>
              <w:t>)</w:t>
            </w: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Present day</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18.47</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14.00</w:t>
            </w:r>
          </w:p>
        </w:tc>
      </w:tr>
      <w:tr w:rsidR="00DA48E6" w:rsidRPr="00B71A0E" w:rsidTr="00757E53">
        <w:trPr>
          <w:trHeight w:val="395"/>
          <w:jc w:val="center"/>
        </w:trPr>
        <w:tc>
          <w:tcPr>
            <w:tcW w:w="2741" w:type="dxa"/>
            <w:vMerge/>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2020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20.18 (±0.53)</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8.48 (±0.66)</w:t>
            </w:r>
          </w:p>
        </w:tc>
      </w:tr>
      <w:tr w:rsidR="00DA48E6" w:rsidRPr="00B71A0E" w:rsidTr="00757E53">
        <w:trPr>
          <w:trHeight w:val="313"/>
          <w:jc w:val="center"/>
        </w:trPr>
        <w:tc>
          <w:tcPr>
            <w:tcW w:w="2741" w:type="dxa"/>
            <w:vMerge/>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2050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10.25 (±0.86)</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3.58 (±0.52)</w:t>
            </w:r>
          </w:p>
        </w:tc>
      </w:tr>
      <w:tr w:rsidR="00DA48E6" w:rsidRPr="00B71A0E" w:rsidTr="00757E53">
        <w:trPr>
          <w:trHeight w:val="392"/>
          <w:jc w:val="center"/>
        </w:trPr>
        <w:tc>
          <w:tcPr>
            <w:tcW w:w="2741" w:type="dxa"/>
            <w:vMerge/>
            <w:tcBorders>
              <w:bottom w:val="single" w:sz="4" w:space="0" w:color="auto"/>
            </w:tcBorders>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2080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7.06 (±0.85)</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r>
      <w:tr w:rsidR="00DA48E6" w:rsidRPr="00B71A0E" w:rsidTr="00757E53">
        <w:trPr>
          <w:trHeight w:val="426"/>
          <w:jc w:val="center"/>
        </w:trPr>
        <w:tc>
          <w:tcPr>
            <w:tcW w:w="2741" w:type="dxa"/>
            <w:vMerge w:val="restart"/>
            <w:tcBorders>
              <w:top w:val="single" w:sz="4" w:space="0" w:color="auto"/>
            </w:tcBorders>
          </w:tcPr>
          <w:p w:rsidR="00DA48E6" w:rsidRPr="00392795" w:rsidRDefault="00DA48E6" w:rsidP="00757E53">
            <w:pPr>
              <w:spacing w:line="480" w:lineRule="auto"/>
              <w:rPr>
                <w:b/>
                <w:sz w:val="18"/>
                <w:szCs w:val="18"/>
              </w:rPr>
            </w:pPr>
            <w:r w:rsidRPr="00392795">
              <w:rPr>
                <w:b/>
                <w:sz w:val="18"/>
                <w:szCs w:val="18"/>
              </w:rPr>
              <w:t>Percentage of environmentally suitable geographical space that overlaps with identified IPA network (km</w:t>
            </w:r>
            <w:r w:rsidRPr="00392795">
              <w:rPr>
                <w:b/>
                <w:sz w:val="18"/>
                <w:szCs w:val="18"/>
                <w:vertAlign w:val="superscript"/>
              </w:rPr>
              <w:t>2</w:t>
            </w:r>
            <w:r w:rsidRPr="00392795">
              <w:rPr>
                <w:b/>
                <w:sz w:val="18"/>
                <w:szCs w:val="18"/>
              </w:rPr>
              <w:t>)</w:t>
            </w: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Present day</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67.71</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43.49</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48.11</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49.02</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58.55</w:t>
            </w:r>
          </w:p>
        </w:tc>
      </w:tr>
      <w:tr w:rsidR="00DA48E6" w:rsidRPr="00B71A0E" w:rsidTr="00757E53">
        <w:trPr>
          <w:trHeight w:val="403"/>
          <w:jc w:val="center"/>
        </w:trPr>
        <w:tc>
          <w:tcPr>
            <w:tcW w:w="2741" w:type="dxa"/>
            <w:vMerge/>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2020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19.86 (±1.93)</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17.17 (±1.06)</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20.86 (±1.40)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34.59 (±0.75)</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9.54 (±1.24)</w:t>
            </w:r>
          </w:p>
        </w:tc>
      </w:tr>
      <w:tr w:rsidR="00DA48E6" w:rsidRPr="00B71A0E" w:rsidTr="00757E53">
        <w:trPr>
          <w:trHeight w:val="423"/>
          <w:jc w:val="center"/>
        </w:trPr>
        <w:tc>
          <w:tcPr>
            <w:tcW w:w="2741" w:type="dxa"/>
            <w:vMerge/>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2050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8.15 (±0.94)</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5.72 (±0.41)</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7.27 (±0.67)</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24.62 (±1.25)</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0.40 (±0.06)</w:t>
            </w:r>
          </w:p>
        </w:tc>
      </w:tr>
      <w:tr w:rsidR="00DA48E6" w:rsidRPr="00B71A0E" w:rsidTr="00757E53">
        <w:trPr>
          <w:trHeight w:val="422"/>
          <w:jc w:val="center"/>
        </w:trPr>
        <w:tc>
          <w:tcPr>
            <w:tcW w:w="2741" w:type="dxa"/>
            <w:vMerge/>
            <w:tcBorders>
              <w:bottom w:val="single" w:sz="4" w:space="0" w:color="auto"/>
            </w:tcBorders>
          </w:tcPr>
          <w:p w:rsidR="00DA48E6" w:rsidRPr="00392795" w:rsidRDefault="00DA48E6" w:rsidP="00757E53">
            <w:pPr>
              <w:spacing w:line="480" w:lineRule="auto"/>
              <w:rPr>
                <w:b/>
                <w:sz w:val="18"/>
                <w:szCs w:val="18"/>
              </w:rPr>
            </w:pPr>
          </w:p>
        </w:tc>
        <w:tc>
          <w:tcPr>
            <w:tcW w:w="1200" w:type="dxa"/>
            <w:tcBorders>
              <w:top w:val="single" w:sz="4" w:space="0" w:color="auto"/>
              <w:bottom w:val="single" w:sz="4" w:space="0" w:color="auto"/>
            </w:tcBorders>
          </w:tcPr>
          <w:p w:rsidR="00DA48E6" w:rsidRPr="00392795" w:rsidRDefault="00DA48E6" w:rsidP="00757E53">
            <w:pPr>
              <w:spacing w:line="480" w:lineRule="auto"/>
              <w:rPr>
                <w:b/>
                <w:sz w:val="18"/>
                <w:szCs w:val="18"/>
              </w:rPr>
            </w:pPr>
            <w:r w:rsidRPr="00392795">
              <w:rPr>
                <w:b/>
                <w:sz w:val="18"/>
                <w:szCs w:val="18"/>
              </w:rPr>
              <w:t>2080</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2.59 (±0.48)</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0.97 (±0.11)</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1.95 (±0.32)</w:t>
            </w:r>
          </w:p>
        </w:tc>
        <w:tc>
          <w:tcPr>
            <w:tcW w:w="1200"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29.10 (±2.22)</w:t>
            </w:r>
          </w:p>
        </w:tc>
        <w:tc>
          <w:tcPr>
            <w:tcW w:w="1201" w:type="dxa"/>
            <w:tcBorders>
              <w:top w:val="single" w:sz="4" w:space="0" w:color="auto"/>
              <w:bottom w:val="single" w:sz="4" w:space="0" w:color="auto"/>
            </w:tcBorders>
          </w:tcPr>
          <w:p w:rsidR="00DA48E6" w:rsidRPr="00392795" w:rsidRDefault="00DA48E6" w:rsidP="00757E53">
            <w:pPr>
              <w:spacing w:line="480" w:lineRule="auto"/>
              <w:rPr>
                <w:sz w:val="18"/>
                <w:szCs w:val="18"/>
              </w:rPr>
            </w:pPr>
            <w:r w:rsidRPr="00392795">
              <w:rPr>
                <w:sz w:val="18"/>
                <w:szCs w:val="18"/>
              </w:rPr>
              <w:t>0.00 (±0.00)</w:t>
            </w:r>
          </w:p>
        </w:tc>
      </w:tr>
    </w:tbl>
    <w:p w:rsidR="00B80270" w:rsidRDefault="00B80270"/>
    <w:sectPr w:rsidR="00B80270" w:rsidSect="00DA48E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E6"/>
    <w:rsid w:val="00B80270"/>
    <w:rsid w:val="00DA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DA5B9-1ADA-4811-BF44-0DF000B6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E6"/>
    <w:pPr>
      <w:spacing w:after="200" w:line="276" w:lineRule="auto"/>
    </w:pPr>
  </w:style>
  <w:style w:type="paragraph" w:styleId="Heading1">
    <w:name w:val="heading 1"/>
    <w:basedOn w:val="Normal"/>
    <w:next w:val="Normal"/>
    <w:link w:val="Heading1Char"/>
    <w:uiPriority w:val="9"/>
    <w:qFormat/>
    <w:rsid w:val="00DA48E6"/>
    <w:pPr>
      <w:keepNext/>
      <w:keepLines/>
      <w:spacing w:before="480" w:after="0"/>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A48E6"/>
    <w:pPr>
      <w:keepNext/>
      <w:keepLines/>
      <w:spacing w:before="200" w:after="0"/>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8E6"/>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DA48E6"/>
    <w:rPr>
      <w:rFonts w:asciiTheme="majorHAnsi" w:eastAsiaTheme="majorEastAsia" w:hAnsiTheme="majorHAnsi" w:cstheme="majorBidi"/>
      <w:b/>
      <w:bCs/>
      <w:sz w:val="32"/>
      <w:szCs w:val="26"/>
    </w:rPr>
  </w:style>
  <w:style w:type="paragraph" w:styleId="NoSpacing">
    <w:name w:val="No Spacing"/>
    <w:uiPriority w:val="1"/>
    <w:qFormat/>
    <w:rsid w:val="00DA48E6"/>
    <w:pPr>
      <w:spacing w:after="0" w:line="240" w:lineRule="auto"/>
    </w:pPr>
  </w:style>
  <w:style w:type="table" w:styleId="TableGrid">
    <w:name w:val="Table Grid"/>
    <w:basedOn w:val="TableNormal"/>
    <w:uiPriority w:val="59"/>
    <w:rsid w:val="00DA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A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Clubbe</dc:creator>
  <cp:keywords/>
  <dc:description/>
  <cp:lastModifiedBy>Colin Clubbe</cp:lastModifiedBy>
  <cp:revision>1</cp:revision>
  <dcterms:created xsi:type="dcterms:W3CDTF">2016-01-27T09:38:00Z</dcterms:created>
  <dcterms:modified xsi:type="dcterms:W3CDTF">2016-01-27T09:39:00Z</dcterms:modified>
</cp:coreProperties>
</file>