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5B" w:rsidRDefault="00257B5B" w:rsidP="00257B5B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B6278" wp14:editId="011D7D26">
                <wp:simplePos x="0" y="0"/>
                <wp:positionH relativeFrom="column">
                  <wp:posOffset>-384810</wp:posOffset>
                </wp:positionH>
                <wp:positionV relativeFrom="paragraph">
                  <wp:posOffset>124460</wp:posOffset>
                </wp:positionV>
                <wp:extent cx="6130925" cy="326390"/>
                <wp:effectExtent l="0" t="0" r="3175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B5B" w:rsidRPr="00F86F0A" w:rsidRDefault="00257B5B" w:rsidP="00257B5B">
                            <w:pPr>
                              <w:pageBreakBefore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S1 Table</w:t>
                            </w:r>
                            <w:r w:rsidRPr="00094B9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094B9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BE10A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Clinical patients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’</w:t>
                            </w:r>
                            <w:r w:rsidRPr="00BE10A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characteristics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at baseline</w:t>
                            </w:r>
                          </w:p>
                          <w:p w:rsidR="00257B5B" w:rsidRPr="00E55D96" w:rsidRDefault="00257B5B" w:rsidP="00257B5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0.3pt;margin-top:9.8pt;width:482.75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" stroked="f">
                <v:textbox>
                  <w:txbxContent>
                    <w:p w:rsidR="00257B5B" w:rsidRPr="00F86F0A" w:rsidRDefault="00257B5B" w:rsidP="00257B5B">
                      <w:pPr>
                        <w:pageBreakBefore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S1 Table</w:t>
                      </w:r>
                      <w:r w:rsidRPr="00094B9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.</w:t>
                      </w:r>
                      <w:proofErr w:type="gramEnd"/>
                      <w:r w:rsidRPr="00094B9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BE10A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Clinical patients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’</w:t>
                      </w:r>
                      <w:r w:rsidRPr="00BE10A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characteristics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at baseline</w:t>
                      </w:r>
                    </w:p>
                    <w:p w:rsidR="00257B5B" w:rsidRPr="00E55D96" w:rsidRDefault="00257B5B" w:rsidP="00257B5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B5B" w:rsidRDefault="00257B5B" w:rsidP="00257B5B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4571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546"/>
        <w:gridCol w:w="1417"/>
        <w:gridCol w:w="1355"/>
        <w:gridCol w:w="1355"/>
        <w:gridCol w:w="955"/>
        <w:gridCol w:w="1417"/>
        <w:gridCol w:w="1906"/>
        <w:gridCol w:w="955"/>
        <w:gridCol w:w="1355"/>
        <w:gridCol w:w="1355"/>
        <w:gridCol w:w="955"/>
      </w:tblGrid>
      <w:tr w:rsidR="00257B5B" w:rsidRPr="00257B5B" w:rsidTr="00257B5B">
        <w:trPr>
          <w:trHeight w:val="55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rPr>
                <w:rFonts w:ascii="Arial" w:hAnsi="Arial" w:cs="Arial"/>
                <w:b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sz w:val="16"/>
                <w:lang w:val="en-US"/>
              </w:rPr>
              <w:t>Characteristics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sz w:val="16"/>
                <w:lang w:val="en-US"/>
              </w:rPr>
              <w:t>all patients</w:t>
            </w:r>
            <w:r w:rsidRPr="00257B5B">
              <w:rPr>
                <w:rFonts w:ascii="Arial" w:hAnsi="Arial" w:cs="Arial"/>
                <w:b/>
                <w:sz w:val="16"/>
                <w:vertAlign w:val="superscript"/>
                <w:lang w:val="en-US"/>
              </w:rPr>
              <w:t>*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sz w:val="16"/>
                <w:lang w:val="en-US"/>
              </w:rPr>
              <w:t>nasal carriers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sz w:val="16"/>
                <w:lang w:val="en-US"/>
              </w:rPr>
              <w:t>non-carriers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sz w:val="16"/>
                <w:lang w:val="en-US"/>
              </w:rPr>
              <w:t>p-values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sz w:val="16"/>
                <w:lang w:val="en-US"/>
              </w:rPr>
              <w:t>with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sz w:val="16"/>
                <w:lang w:val="en-US"/>
              </w:rPr>
              <w:t>exacerbation**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sz w:val="16"/>
                <w:lang w:val="en-US"/>
              </w:rPr>
              <w:t>without exacerbation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sz w:val="16"/>
                <w:lang w:val="en-US"/>
              </w:rPr>
              <w:t>p-values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sz w:val="16"/>
                <w:lang w:val="en-US"/>
              </w:rPr>
              <w:t>with SCVs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sz w:val="16"/>
                <w:lang w:val="en-US"/>
              </w:rPr>
              <w:t>ever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sz w:val="16"/>
                <w:lang w:val="en-US"/>
              </w:rPr>
              <w:t>without SCVs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sz w:val="16"/>
                <w:lang w:val="en-US"/>
              </w:rPr>
              <w:t>p-values</w:t>
            </w:r>
          </w:p>
        </w:tc>
      </w:tr>
      <w:tr w:rsidR="00257B5B" w:rsidRPr="00257B5B" w:rsidTr="00257B5B">
        <w:trPr>
          <w:trHeight w:val="283"/>
        </w:trPr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rPr>
                <w:rFonts w:ascii="Arial" w:hAnsi="Arial" w:cs="Arial"/>
                <w:b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sz w:val="16"/>
                <w:lang w:val="en-US"/>
              </w:rPr>
              <w:t># of patients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195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122 (65%</w:t>
            </w:r>
            <w:proofErr w:type="gramStart"/>
            <w:r w:rsidRPr="00257B5B">
              <w:rPr>
                <w:rFonts w:ascii="Arial" w:hAnsi="Arial" w:cs="Arial"/>
                <w:sz w:val="16"/>
                <w:lang w:val="en-US"/>
              </w:rPr>
              <w:t>)</w:t>
            </w:r>
            <w:r w:rsidRPr="00257B5B">
              <w:rPr>
                <w:rFonts w:ascii="Arial" w:hAnsi="Arial" w:cs="Arial"/>
                <w:sz w:val="16"/>
                <w:vertAlign w:val="superscript"/>
                <w:lang w:val="en-US"/>
              </w:rPr>
              <w:t>†</w:t>
            </w:r>
            <w:proofErr w:type="gram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66 (35%)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60 (31%)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135 (69%)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84 (43%)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111 (57%)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257B5B" w:rsidRPr="00257B5B" w:rsidTr="00257B5B">
        <w:trPr>
          <w:trHeight w:val="283"/>
        </w:trPr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rPr>
                <w:rFonts w:ascii="Arial" w:hAnsi="Arial" w:cs="Arial"/>
                <w:b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sz w:val="16"/>
                <w:lang w:val="en-US"/>
              </w:rPr>
              <w:t>Age (years)</w:t>
            </w:r>
          </w:p>
          <w:p w:rsidR="00257B5B" w:rsidRPr="00257B5B" w:rsidRDefault="00257B5B" w:rsidP="009A5346">
            <w:pPr>
              <w:spacing w:after="0" w:line="240" w:lineRule="auto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257B5B" w:rsidRPr="00257B5B" w:rsidRDefault="00257B5B" w:rsidP="009A5346">
            <w:pPr>
              <w:spacing w:after="0" w:line="240" w:lineRule="auto"/>
              <w:rPr>
                <w:rFonts w:ascii="Arial" w:hAnsi="Arial" w:cs="Arial"/>
                <w:b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sz w:val="16"/>
                <w:lang w:val="en-US"/>
              </w:rPr>
              <w:t>Male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16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(6-42)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120 (61.54%)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 xml:space="preserve">14.083 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(6.02-41.58)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86 (70.5%)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 xml:space="preserve">13.33 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(5.82-40.7)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30 (</w:t>
            </w:r>
            <w:proofErr w:type="gramStart"/>
            <w:r w:rsidRPr="00257B5B">
              <w:rPr>
                <w:rFonts w:ascii="Arial" w:hAnsi="Arial" w:cs="Arial"/>
                <w:sz w:val="16"/>
                <w:lang w:val="en-US"/>
              </w:rPr>
              <w:t>45.5%</w:t>
            </w:r>
            <w:proofErr w:type="gramEnd"/>
            <w:r w:rsidRPr="00257B5B">
              <w:rPr>
                <w:rFonts w:ascii="Arial" w:hAnsi="Arial" w:cs="Arial"/>
                <w:sz w:val="16"/>
                <w:lang w:val="en-US"/>
              </w:rPr>
              <w:t>^)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vertAlign w:val="superscript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0.45</w:t>
            </w:r>
            <w:r w:rsidRPr="00257B5B">
              <w:rPr>
                <w:rFonts w:ascii="Arial" w:hAnsi="Arial" w:cs="Arial"/>
                <w:sz w:val="16"/>
                <w:vertAlign w:val="superscript"/>
                <w:lang w:val="en-US"/>
              </w:rPr>
              <w:t>‡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vertAlign w:val="superscript"/>
                <w:lang w:val="en-US"/>
              </w:rPr>
            </w:pP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0.00075</w:t>
            </w:r>
            <w:r w:rsidRPr="00257B5B">
              <w:rPr>
                <w:rFonts w:ascii="Arial" w:hAnsi="Arial" w:cs="Arial"/>
                <w:sz w:val="16"/>
                <w:vertAlign w:val="superscript"/>
                <w:lang w:val="en-US"/>
              </w:rPr>
              <w:t>§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 xml:space="preserve">14.95 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(7.23-36.37)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33 (55%)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 xml:space="preserve">13.65 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(5.82-41.7)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87 (64.44%)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vertAlign w:val="superscript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0.5182</w:t>
            </w:r>
            <w:r w:rsidRPr="00257B5B">
              <w:rPr>
                <w:rFonts w:ascii="Arial" w:hAnsi="Arial" w:cs="Arial"/>
                <w:sz w:val="16"/>
                <w:vertAlign w:val="superscript"/>
                <w:lang w:val="en-US"/>
              </w:rPr>
              <w:t>‡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vertAlign w:val="superscript"/>
                <w:lang w:val="en-US"/>
              </w:rPr>
            </w:pP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0.2109</w:t>
            </w:r>
            <w:r w:rsidRPr="00257B5B">
              <w:rPr>
                <w:rFonts w:ascii="Arial" w:hAnsi="Arial" w:cs="Arial"/>
                <w:sz w:val="16"/>
                <w:vertAlign w:val="superscript"/>
                <w:lang w:val="en-US"/>
              </w:rPr>
              <w:t>§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 xml:space="preserve">15.41 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(5.82-41.58)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48 (57.14%)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13.03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(6.02-40.53)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72 (64.86%)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vertAlign w:val="superscript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0.0066</w:t>
            </w:r>
            <w:r w:rsidRPr="00257B5B">
              <w:rPr>
                <w:rFonts w:ascii="Arial" w:hAnsi="Arial" w:cs="Arial"/>
                <w:sz w:val="16"/>
                <w:vertAlign w:val="superscript"/>
                <w:lang w:val="en-US"/>
              </w:rPr>
              <w:t>‡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vertAlign w:val="superscript"/>
                <w:lang w:val="en-US"/>
              </w:rPr>
            </w:pP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0.2724</w:t>
            </w:r>
            <w:r w:rsidRPr="00257B5B">
              <w:rPr>
                <w:rFonts w:ascii="Arial" w:hAnsi="Arial" w:cs="Arial"/>
                <w:sz w:val="16"/>
                <w:vertAlign w:val="superscript"/>
                <w:lang w:val="en-US"/>
              </w:rPr>
              <w:t>§</w:t>
            </w:r>
          </w:p>
        </w:tc>
      </w:tr>
      <w:tr w:rsidR="00257B5B" w:rsidRPr="00257B5B" w:rsidTr="00257B5B">
        <w:trPr>
          <w:trHeight w:val="283"/>
        </w:trPr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rPr>
                <w:rFonts w:ascii="Arial" w:hAnsi="Arial" w:cs="Arial"/>
                <w:b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sz w:val="16"/>
                <w:lang w:val="en-US"/>
              </w:rPr>
              <w:t xml:space="preserve">Ex. </w:t>
            </w:r>
            <w:proofErr w:type="spellStart"/>
            <w:r w:rsidRPr="00257B5B">
              <w:rPr>
                <w:rFonts w:ascii="Arial" w:hAnsi="Arial" w:cs="Arial"/>
                <w:b/>
                <w:sz w:val="16"/>
                <w:lang w:val="en-US"/>
              </w:rPr>
              <w:t>panc.suff</w:t>
            </w:r>
            <w:proofErr w:type="spellEnd"/>
            <w:r w:rsidRPr="00257B5B">
              <w:rPr>
                <w:rFonts w:ascii="Arial" w:hAnsi="Arial" w:cs="Arial"/>
                <w:b/>
                <w:sz w:val="16"/>
                <w:lang w:val="en-US"/>
              </w:rPr>
              <w:t>.</w:t>
            </w:r>
            <w:r w:rsidRPr="00257B5B">
              <w:rPr>
                <w:rFonts w:ascii="Arial" w:hAnsi="Arial" w:cs="Arial"/>
                <w:b/>
                <w:sz w:val="16"/>
                <w:vertAlign w:val="superscript"/>
                <w:lang w:val="en-US"/>
              </w:rPr>
              <w:t>‖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22 (11%)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 xml:space="preserve">17 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5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0.201</w:t>
            </w:r>
            <w:r w:rsidRPr="00257B5B">
              <w:rPr>
                <w:rFonts w:ascii="Arial" w:hAnsi="Arial" w:cs="Arial"/>
                <w:sz w:val="16"/>
                <w:vertAlign w:val="superscript"/>
                <w:lang w:val="en-US"/>
              </w:rPr>
              <w:t>§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3 (5.08%)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19 (14.18%)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0.067</w:t>
            </w:r>
            <w:r w:rsidRPr="00257B5B">
              <w:rPr>
                <w:rFonts w:ascii="Arial" w:hAnsi="Arial" w:cs="Arial"/>
                <w:sz w:val="16"/>
                <w:vertAlign w:val="superscript"/>
                <w:lang w:val="en-US"/>
              </w:rPr>
              <w:t>§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9 (10.8%)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13 (12.04%)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0.7978</w:t>
            </w:r>
            <w:r w:rsidRPr="00257B5B">
              <w:rPr>
                <w:rFonts w:ascii="Arial" w:hAnsi="Arial" w:cs="Arial"/>
                <w:sz w:val="16"/>
                <w:vertAlign w:val="superscript"/>
                <w:lang w:val="en-US"/>
              </w:rPr>
              <w:t>§</w:t>
            </w:r>
          </w:p>
        </w:tc>
      </w:tr>
      <w:tr w:rsidR="00257B5B" w:rsidRPr="00257B5B" w:rsidTr="00257B5B">
        <w:trPr>
          <w:trHeight w:val="283"/>
        </w:trPr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rPr>
                <w:rFonts w:ascii="Arial" w:hAnsi="Arial" w:cs="Arial"/>
                <w:b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sz w:val="16"/>
                <w:lang w:val="en-US"/>
              </w:rPr>
              <w:t>FEV</w:t>
            </w:r>
            <w:r w:rsidRPr="00257B5B">
              <w:rPr>
                <w:rFonts w:ascii="Arial" w:hAnsi="Arial" w:cs="Arial"/>
                <w:b/>
                <w:sz w:val="16"/>
                <w:vertAlign w:val="subscript"/>
                <w:lang w:val="en-US"/>
              </w:rPr>
              <w:t>1</w:t>
            </w:r>
          </w:p>
          <w:p w:rsidR="00257B5B" w:rsidRPr="00257B5B" w:rsidRDefault="00257B5B" w:rsidP="009A5346">
            <w:pPr>
              <w:spacing w:after="0" w:line="240" w:lineRule="auto"/>
              <w:rPr>
                <w:rFonts w:ascii="Arial" w:hAnsi="Arial" w:cs="Arial"/>
                <w:b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sz w:val="16"/>
                <w:lang w:val="en-US"/>
              </w:rPr>
              <w:t>(% predicted)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84.07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(13.18-120.57)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86.96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(13.18-120.57)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80.92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(26.35-118.05)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0.096</w:t>
            </w:r>
            <w:r w:rsidRPr="00257B5B">
              <w:rPr>
                <w:rFonts w:ascii="Arial" w:hAnsi="Arial" w:cs="Arial"/>
                <w:sz w:val="16"/>
                <w:vertAlign w:val="superscript"/>
                <w:lang w:val="en-US"/>
              </w:rPr>
              <w:t>‡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81.64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(26.35-116.82)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86.27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(13.18-120.57)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0.1941</w:t>
            </w:r>
            <w:r w:rsidRPr="00257B5B">
              <w:rPr>
                <w:rFonts w:ascii="Arial" w:hAnsi="Arial" w:cs="Arial"/>
                <w:sz w:val="16"/>
                <w:vertAlign w:val="superscript"/>
                <w:lang w:val="en-US"/>
              </w:rPr>
              <w:t>‡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79.48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(13.18-120.57)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 xml:space="preserve">88.56 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(30.56-115.19)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0.0133</w:t>
            </w:r>
            <w:r w:rsidRPr="00257B5B">
              <w:rPr>
                <w:rFonts w:ascii="Arial" w:hAnsi="Arial" w:cs="Arial"/>
                <w:sz w:val="16"/>
                <w:vertAlign w:val="superscript"/>
                <w:lang w:val="en-US"/>
              </w:rPr>
              <w:t>‡</w:t>
            </w:r>
          </w:p>
        </w:tc>
      </w:tr>
      <w:tr w:rsidR="00257B5B" w:rsidRPr="00257B5B" w:rsidTr="00257B5B">
        <w:trPr>
          <w:trHeight w:val="283"/>
        </w:trPr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rPr>
                <w:rFonts w:ascii="Arial" w:hAnsi="Arial" w:cs="Arial"/>
                <w:b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sz w:val="16"/>
                <w:lang w:val="en-US"/>
              </w:rPr>
              <w:t>BMI-</w:t>
            </w:r>
            <w:proofErr w:type="spellStart"/>
            <w:r w:rsidRPr="00257B5B">
              <w:rPr>
                <w:rFonts w:ascii="Arial" w:hAnsi="Arial" w:cs="Arial"/>
                <w:b/>
                <w:sz w:val="16"/>
                <w:lang w:val="en-US"/>
              </w:rPr>
              <w:t>Quantils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highlight w:val="yellow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25%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(0.068%-100%)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28%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(1%-100%)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23%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(0.068%-81%)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ns</w:t>
            </w:r>
            <w:r w:rsidRPr="00257B5B">
              <w:rPr>
                <w:rFonts w:ascii="Arial" w:hAnsi="Arial" w:cs="Arial"/>
                <w:sz w:val="16"/>
                <w:vertAlign w:val="superscript"/>
                <w:lang w:val="en-US"/>
              </w:rPr>
              <w:t>‡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26.77%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(1.7%-97.29%)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24.93%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(0.068%-99.79%)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0.7740</w:t>
            </w:r>
            <w:r w:rsidRPr="00257B5B">
              <w:rPr>
                <w:rFonts w:ascii="Arial" w:hAnsi="Arial" w:cs="Arial"/>
                <w:sz w:val="16"/>
                <w:vertAlign w:val="superscript"/>
                <w:lang w:val="en-US"/>
              </w:rPr>
              <w:t>‡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23%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(0.068%-92%)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27%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(4%-100%)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0.3166</w:t>
            </w:r>
            <w:r w:rsidRPr="00257B5B">
              <w:rPr>
                <w:rFonts w:ascii="Arial" w:hAnsi="Arial" w:cs="Arial"/>
                <w:sz w:val="16"/>
                <w:vertAlign w:val="superscript"/>
                <w:lang w:val="en-US"/>
              </w:rPr>
              <w:t>‡</w:t>
            </w:r>
          </w:p>
        </w:tc>
      </w:tr>
      <w:tr w:rsidR="00257B5B" w:rsidRPr="00257B5B" w:rsidTr="00257B5B">
        <w:trPr>
          <w:trHeight w:val="283"/>
        </w:trPr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rPr>
                <w:rFonts w:ascii="Arial" w:hAnsi="Arial" w:cs="Arial"/>
                <w:b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sz w:val="16"/>
                <w:lang w:val="en-US"/>
              </w:rPr>
              <w:t>Genotype</w:t>
            </w:r>
            <w:r w:rsidRPr="00257B5B">
              <w:rPr>
                <w:rFonts w:ascii="Arial" w:hAnsi="Arial" w:cs="Arial"/>
                <w:b/>
                <w:sz w:val="16"/>
                <w:vertAlign w:val="superscript"/>
                <w:lang w:val="en-US"/>
              </w:rPr>
              <w:t>††</w:t>
            </w:r>
          </w:p>
          <w:p w:rsidR="00257B5B" w:rsidRPr="00257B5B" w:rsidRDefault="00257B5B" w:rsidP="009A5346">
            <w:pPr>
              <w:spacing w:after="0" w:line="240" w:lineRule="auto"/>
              <w:rPr>
                <w:rFonts w:ascii="Arial" w:hAnsi="Arial" w:cs="Arial"/>
                <w:b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sz w:val="16"/>
                <w:lang w:val="en-US"/>
              </w:rPr>
              <w:t>F508del homo</w:t>
            </w:r>
            <w:r w:rsidRPr="00257B5B">
              <w:rPr>
                <w:rFonts w:ascii="Arial" w:hAnsi="Arial" w:cs="Arial"/>
                <w:b/>
                <w:sz w:val="16"/>
                <w:vertAlign w:val="superscript"/>
                <w:lang w:val="en-US"/>
              </w:rPr>
              <w:t>‡‡</w:t>
            </w:r>
          </w:p>
          <w:p w:rsidR="00257B5B" w:rsidRPr="00257B5B" w:rsidRDefault="00257B5B" w:rsidP="009A5346">
            <w:pPr>
              <w:spacing w:after="0" w:line="240" w:lineRule="auto"/>
              <w:rPr>
                <w:rFonts w:ascii="Arial" w:hAnsi="Arial" w:cs="Arial"/>
                <w:b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sz w:val="16"/>
                <w:lang w:val="en-US"/>
              </w:rPr>
              <w:t>F508del hetero</w:t>
            </w:r>
            <w:r w:rsidRPr="00257B5B">
              <w:rPr>
                <w:rFonts w:ascii="Arial" w:hAnsi="Arial" w:cs="Arial"/>
                <w:b/>
                <w:sz w:val="16"/>
                <w:vertAlign w:val="superscript"/>
                <w:lang w:val="en-US"/>
              </w:rPr>
              <w:t>§§</w:t>
            </w:r>
          </w:p>
          <w:p w:rsidR="00257B5B" w:rsidRPr="00257B5B" w:rsidRDefault="00257B5B" w:rsidP="009A5346">
            <w:pPr>
              <w:spacing w:after="0" w:line="240" w:lineRule="auto"/>
              <w:rPr>
                <w:rFonts w:ascii="Arial" w:hAnsi="Arial" w:cs="Arial"/>
                <w:b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sz w:val="16"/>
                <w:lang w:val="en-US"/>
              </w:rPr>
              <w:t>others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173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85 (49%)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40 (23.2%)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48 (27.7%)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52 (48.1%)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25 (23.1%)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31 (28.7%)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28 (48.3%)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13 (22.4%)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17 (29.3%)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0.993</w:t>
            </w:r>
            <w:r w:rsidRPr="00257B5B">
              <w:rPr>
                <w:rFonts w:ascii="Arial" w:hAnsi="Arial" w:cs="Arial"/>
                <w:sz w:val="16"/>
                <w:vertAlign w:val="superscript"/>
                <w:lang w:val="en-US"/>
              </w:rPr>
              <w:t>§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 xml:space="preserve"> 27 (54%)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14 (28%)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9 (18%)</w:t>
            </w: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58 (47.15%)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26 (21.14%)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39 (31.71%)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0.1764</w:t>
            </w:r>
            <w:r w:rsidRPr="00257B5B">
              <w:rPr>
                <w:rFonts w:ascii="Arial" w:hAnsi="Arial" w:cs="Arial"/>
                <w:sz w:val="16"/>
                <w:vertAlign w:val="superscript"/>
                <w:lang w:val="en-US"/>
              </w:rPr>
              <w:t>§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35 (49.3%)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11 (15.5%)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25 (35.2%)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49 (49%)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28 (28%)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23 (23%)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0.079</w:t>
            </w:r>
            <w:r w:rsidRPr="00257B5B">
              <w:rPr>
                <w:rFonts w:ascii="Arial" w:hAnsi="Arial" w:cs="Arial"/>
                <w:sz w:val="16"/>
                <w:vertAlign w:val="superscript"/>
                <w:lang w:val="en-US"/>
              </w:rPr>
              <w:t>§</w:t>
            </w:r>
          </w:p>
        </w:tc>
      </w:tr>
    </w:tbl>
    <w:p w:rsidR="00257B5B" w:rsidRDefault="00257B5B" w:rsidP="00257B5B">
      <w:pPr>
        <w:tabs>
          <w:tab w:val="left" w:pos="1987"/>
        </w:tabs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08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809"/>
        <w:gridCol w:w="1679"/>
        <w:gridCol w:w="1679"/>
        <w:gridCol w:w="1036"/>
        <w:gridCol w:w="1679"/>
        <w:gridCol w:w="1756"/>
        <w:gridCol w:w="1197"/>
      </w:tblGrid>
      <w:tr w:rsidR="00257B5B" w:rsidRPr="00257B5B" w:rsidTr="00257B5B">
        <w:trPr>
          <w:trHeight w:val="5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rPr>
                <w:rFonts w:ascii="Arial" w:hAnsi="Arial" w:cs="Arial"/>
                <w:b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sz w:val="16"/>
                <w:lang w:val="en-US"/>
              </w:rPr>
              <w:t>Characteristics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sz w:val="16"/>
                <w:lang w:val="en-US"/>
              </w:rPr>
              <w:t xml:space="preserve">With 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i/>
                <w:sz w:val="16"/>
                <w:lang w:val="en-US"/>
              </w:rPr>
              <w:t xml:space="preserve">S. </w:t>
            </w:r>
            <w:proofErr w:type="spellStart"/>
            <w:r w:rsidRPr="00257B5B">
              <w:rPr>
                <w:rFonts w:ascii="Arial" w:hAnsi="Arial" w:cs="Arial"/>
                <w:b/>
                <w:i/>
                <w:sz w:val="16"/>
                <w:lang w:val="en-US"/>
              </w:rPr>
              <w:t>maltophilia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sz w:val="16"/>
                <w:lang w:val="en-US"/>
              </w:rPr>
              <w:t>Without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i/>
                <w:sz w:val="16"/>
                <w:lang w:val="en-US"/>
              </w:rPr>
              <w:t xml:space="preserve">S. </w:t>
            </w:r>
            <w:proofErr w:type="spellStart"/>
            <w:r w:rsidRPr="00257B5B">
              <w:rPr>
                <w:rFonts w:ascii="Arial" w:hAnsi="Arial" w:cs="Arial"/>
                <w:b/>
                <w:i/>
                <w:sz w:val="16"/>
                <w:lang w:val="en-US"/>
              </w:rPr>
              <w:t>maltophilia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sz w:val="16"/>
                <w:lang w:val="en-US"/>
              </w:rPr>
              <w:t>p-values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sz w:val="16"/>
                <w:lang w:val="en-US"/>
              </w:rPr>
              <w:t>With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i/>
                <w:sz w:val="16"/>
                <w:lang w:val="en-US"/>
              </w:rPr>
              <w:t>A. fumigatus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sz w:val="16"/>
                <w:lang w:val="en-US"/>
              </w:rPr>
              <w:t>Without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i/>
                <w:sz w:val="16"/>
                <w:lang w:val="en-US"/>
              </w:rPr>
              <w:t>A. fumigatus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sz w:val="16"/>
                <w:lang w:val="en-US"/>
              </w:rPr>
              <w:t>p-values</w:t>
            </w:r>
          </w:p>
        </w:tc>
        <w:bookmarkStart w:id="0" w:name="_GoBack"/>
        <w:bookmarkEnd w:id="0"/>
      </w:tr>
      <w:tr w:rsidR="00257B5B" w:rsidRPr="00257B5B" w:rsidTr="00257B5B">
        <w:trPr>
          <w:trHeight w:val="283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rPr>
                <w:rFonts w:ascii="Arial" w:hAnsi="Arial" w:cs="Arial"/>
                <w:b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sz w:val="16"/>
                <w:lang w:val="en-US"/>
              </w:rPr>
              <w:t># of patients</w:t>
            </w: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44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151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60 (31%)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135 (69%)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257B5B" w:rsidRPr="00257B5B" w:rsidTr="00257B5B">
        <w:trPr>
          <w:trHeight w:val="283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rPr>
                <w:rFonts w:ascii="Arial" w:hAnsi="Arial" w:cs="Arial"/>
                <w:b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sz w:val="16"/>
                <w:lang w:val="en-US"/>
              </w:rPr>
              <w:t>Age (years)</w:t>
            </w:r>
          </w:p>
          <w:p w:rsidR="00257B5B" w:rsidRPr="00257B5B" w:rsidRDefault="00257B5B" w:rsidP="009A5346">
            <w:pPr>
              <w:spacing w:after="0" w:line="240" w:lineRule="auto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257B5B" w:rsidRPr="00257B5B" w:rsidRDefault="00257B5B" w:rsidP="009A5346">
            <w:pPr>
              <w:spacing w:after="0" w:line="240" w:lineRule="auto"/>
              <w:rPr>
                <w:rFonts w:ascii="Arial" w:hAnsi="Arial" w:cs="Arial"/>
                <w:b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sz w:val="16"/>
                <w:lang w:val="en-US"/>
              </w:rPr>
              <w:t>Male</w:t>
            </w: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15.78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(7.33-36.37)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20 (45.45%)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13.51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(5.82-41.58)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100 (66.23%)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vertAlign w:val="superscript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0.0847</w:t>
            </w:r>
            <w:r w:rsidRPr="00257B5B">
              <w:rPr>
                <w:rFonts w:ascii="Arial" w:hAnsi="Arial" w:cs="Arial"/>
                <w:sz w:val="16"/>
                <w:vertAlign w:val="superscript"/>
                <w:lang w:val="en-US"/>
              </w:rPr>
              <w:t>‡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vertAlign w:val="superscript"/>
                <w:lang w:val="en-US"/>
              </w:rPr>
            </w:pP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0.0127</w:t>
            </w:r>
            <w:r w:rsidRPr="00257B5B">
              <w:rPr>
                <w:rFonts w:ascii="Arial" w:hAnsi="Arial" w:cs="Arial"/>
                <w:sz w:val="16"/>
                <w:vertAlign w:val="superscript"/>
                <w:lang w:val="en-US"/>
              </w:rPr>
              <w:t>§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18.10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(8.99-41.58)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34 (56.67%)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12.85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(5.82-40.70)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86 (63.7%)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vertAlign w:val="superscript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&lt;0.0001</w:t>
            </w:r>
            <w:r w:rsidRPr="00257B5B">
              <w:rPr>
                <w:rFonts w:ascii="Arial" w:hAnsi="Arial" w:cs="Arial"/>
                <w:sz w:val="16"/>
                <w:vertAlign w:val="superscript"/>
                <w:lang w:val="en-US"/>
              </w:rPr>
              <w:t>‡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vertAlign w:val="superscript"/>
                <w:lang w:val="en-US"/>
              </w:rPr>
            </w:pP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0.3512</w:t>
            </w:r>
            <w:r w:rsidRPr="00257B5B">
              <w:rPr>
                <w:rFonts w:ascii="Arial" w:hAnsi="Arial" w:cs="Arial"/>
                <w:sz w:val="16"/>
                <w:vertAlign w:val="superscript"/>
                <w:lang w:val="en-US"/>
              </w:rPr>
              <w:t>§</w:t>
            </w:r>
          </w:p>
        </w:tc>
      </w:tr>
      <w:tr w:rsidR="00257B5B" w:rsidRPr="00257B5B" w:rsidTr="00257B5B">
        <w:trPr>
          <w:trHeight w:val="283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rPr>
                <w:rFonts w:ascii="Arial" w:hAnsi="Arial" w:cs="Arial"/>
                <w:b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sz w:val="16"/>
                <w:lang w:val="en-US"/>
              </w:rPr>
              <w:t xml:space="preserve">Ex. </w:t>
            </w:r>
            <w:proofErr w:type="spellStart"/>
            <w:r w:rsidRPr="00257B5B">
              <w:rPr>
                <w:rFonts w:ascii="Arial" w:hAnsi="Arial" w:cs="Arial"/>
                <w:b/>
                <w:sz w:val="16"/>
                <w:lang w:val="en-US"/>
              </w:rPr>
              <w:t>panc.suff</w:t>
            </w:r>
            <w:proofErr w:type="spellEnd"/>
            <w:r w:rsidRPr="00257B5B">
              <w:rPr>
                <w:rFonts w:ascii="Arial" w:hAnsi="Arial" w:cs="Arial"/>
                <w:b/>
                <w:sz w:val="16"/>
                <w:lang w:val="en-US"/>
              </w:rPr>
              <w:t>.</w:t>
            </w:r>
            <w:r w:rsidRPr="00257B5B">
              <w:rPr>
                <w:rFonts w:ascii="Arial" w:hAnsi="Arial" w:cs="Arial"/>
                <w:b/>
                <w:sz w:val="16"/>
                <w:vertAlign w:val="superscript"/>
                <w:lang w:val="en-US"/>
              </w:rPr>
              <w:t>‖</w:t>
            </w: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2 (4.55%)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20 (13.61%)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0.0986</w:t>
            </w:r>
            <w:r w:rsidRPr="00257B5B">
              <w:rPr>
                <w:rFonts w:ascii="Arial" w:hAnsi="Arial" w:cs="Arial"/>
                <w:sz w:val="16"/>
                <w:vertAlign w:val="superscript"/>
                <w:lang w:val="en-US"/>
              </w:rPr>
              <w:t>§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7 (11.86%)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15 (11.36)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0.9202</w:t>
            </w:r>
            <w:r w:rsidRPr="00257B5B">
              <w:rPr>
                <w:rFonts w:ascii="Arial" w:hAnsi="Arial" w:cs="Arial"/>
                <w:sz w:val="16"/>
                <w:vertAlign w:val="superscript"/>
                <w:lang w:val="en-US"/>
              </w:rPr>
              <w:t>§</w:t>
            </w:r>
          </w:p>
        </w:tc>
      </w:tr>
      <w:tr w:rsidR="00257B5B" w:rsidRPr="00257B5B" w:rsidTr="00257B5B">
        <w:trPr>
          <w:trHeight w:val="283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rPr>
                <w:rFonts w:ascii="Arial" w:hAnsi="Arial" w:cs="Arial"/>
                <w:b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sz w:val="16"/>
                <w:lang w:val="en-US"/>
              </w:rPr>
              <w:t>FEV</w:t>
            </w:r>
            <w:r w:rsidRPr="00257B5B">
              <w:rPr>
                <w:rFonts w:ascii="Arial" w:hAnsi="Arial" w:cs="Arial"/>
                <w:b/>
                <w:sz w:val="16"/>
                <w:vertAlign w:val="subscript"/>
                <w:lang w:val="en-US"/>
              </w:rPr>
              <w:t>1</w:t>
            </w:r>
          </w:p>
          <w:p w:rsidR="00257B5B" w:rsidRPr="00257B5B" w:rsidRDefault="00257B5B" w:rsidP="009A5346">
            <w:pPr>
              <w:spacing w:after="0" w:line="240" w:lineRule="auto"/>
              <w:rPr>
                <w:rFonts w:ascii="Arial" w:hAnsi="Arial" w:cs="Arial"/>
                <w:b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sz w:val="16"/>
                <w:lang w:val="en-US"/>
              </w:rPr>
              <w:t>(% predicted)</w:t>
            </w: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80.05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(38.96-120.57)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85.89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(13.18-118.05)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0.2071</w:t>
            </w:r>
            <w:r w:rsidRPr="00257B5B">
              <w:rPr>
                <w:rFonts w:ascii="Arial" w:hAnsi="Arial" w:cs="Arial"/>
                <w:sz w:val="16"/>
                <w:vertAlign w:val="superscript"/>
                <w:lang w:val="en-US"/>
              </w:rPr>
              <w:t>‡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80.41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(37.56-120.57)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85.60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(13.18-118.05)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0.2698</w:t>
            </w:r>
            <w:r w:rsidRPr="00257B5B">
              <w:rPr>
                <w:rFonts w:ascii="Arial" w:hAnsi="Arial" w:cs="Arial"/>
                <w:sz w:val="16"/>
                <w:vertAlign w:val="superscript"/>
                <w:lang w:val="en-US"/>
              </w:rPr>
              <w:t>‡</w:t>
            </w:r>
          </w:p>
        </w:tc>
      </w:tr>
      <w:tr w:rsidR="00257B5B" w:rsidRPr="00257B5B" w:rsidTr="00257B5B">
        <w:trPr>
          <w:trHeight w:val="283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rPr>
                <w:rFonts w:ascii="Arial" w:hAnsi="Arial" w:cs="Arial"/>
                <w:b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sz w:val="16"/>
                <w:lang w:val="en-US"/>
              </w:rPr>
              <w:t>BMI-</w:t>
            </w:r>
            <w:proofErr w:type="spellStart"/>
            <w:r w:rsidRPr="00257B5B">
              <w:rPr>
                <w:rFonts w:ascii="Arial" w:hAnsi="Arial" w:cs="Arial"/>
                <w:b/>
                <w:sz w:val="16"/>
                <w:lang w:val="en-US"/>
              </w:rPr>
              <w:t>Quantils</w:t>
            </w:r>
            <w:proofErr w:type="spellEnd"/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257B5B" w:rsidRPr="00257B5B" w:rsidRDefault="00257B5B" w:rsidP="009A5346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23%</w:t>
            </w:r>
          </w:p>
          <w:p w:rsidR="00257B5B" w:rsidRPr="00257B5B" w:rsidRDefault="00257B5B" w:rsidP="009A5346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(5%-92%)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25%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(0.068%-100%)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0.8861</w:t>
            </w:r>
            <w:r w:rsidRPr="00257B5B">
              <w:rPr>
                <w:rFonts w:ascii="Arial" w:hAnsi="Arial" w:cs="Arial"/>
                <w:sz w:val="16"/>
                <w:vertAlign w:val="superscript"/>
                <w:lang w:val="en-US"/>
              </w:rPr>
              <w:t>‡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23%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(1%-97%)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27%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(0.068%-100%)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0.2332</w:t>
            </w:r>
            <w:r w:rsidRPr="00257B5B">
              <w:rPr>
                <w:rFonts w:ascii="Arial" w:hAnsi="Arial" w:cs="Arial"/>
                <w:sz w:val="16"/>
                <w:vertAlign w:val="superscript"/>
                <w:lang w:val="en-US"/>
              </w:rPr>
              <w:t>‡</w:t>
            </w:r>
          </w:p>
        </w:tc>
      </w:tr>
      <w:tr w:rsidR="00257B5B" w:rsidRPr="00257B5B" w:rsidTr="00257B5B">
        <w:trPr>
          <w:trHeight w:val="283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rPr>
                <w:rFonts w:ascii="Arial" w:hAnsi="Arial" w:cs="Arial"/>
                <w:b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sz w:val="16"/>
                <w:lang w:val="en-US"/>
              </w:rPr>
              <w:t>Genotype</w:t>
            </w:r>
            <w:r w:rsidRPr="00257B5B">
              <w:rPr>
                <w:rFonts w:ascii="Arial" w:hAnsi="Arial" w:cs="Arial"/>
                <w:b/>
                <w:sz w:val="16"/>
                <w:vertAlign w:val="superscript"/>
                <w:lang w:val="en-US"/>
              </w:rPr>
              <w:t>††</w:t>
            </w:r>
          </w:p>
          <w:p w:rsidR="00257B5B" w:rsidRPr="00257B5B" w:rsidRDefault="00257B5B" w:rsidP="009A5346">
            <w:pPr>
              <w:spacing w:after="0" w:line="240" w:lineRule="auto"/>
              <w:rPr>
                <w:rFonts w:ascii="Arial" w:hAnsi="Arial" w:cs="Arial"/>
                <w:b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sz w:val="16"/>
                <w:lang w:val="en-US"/>
              </w:rPr>
              <w:t>F508del homo</w:t>
            </w:r>
            <w:r w:rsidRPr="00257B5B">
              <w:rPr>
                <w:rFonts w:ascii="Arial" w:hAnsi="Arial" w:cs="Arial"/>
                <w:b/>
                <w:sz w:val="16"/>
                <w:vertAlign w:val="superscript"/>
                <w:lang w:val="en-US"/>
              </w:rPr>
              <w:t>‡‡</w:t>
            </w:r>
          </w:p>
          <w:p w:rsidR="00257B5B" w:rsidRPr="00257B5B" w:rsidRDefault="00257B5B" w:rsidP="009A5346">
            <w:pPr>
              <w:spacing w:after="0" w:line="240" w:lineRule="auto"/>
              <w:rPr>
                <w:rFonts w:ascii="Arial" w:hAnsi="Arial" w:cs="Arial"/>
                <w:b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sz w:val="16"/>
                <w:lang w:val="en-US"/>
              </w:rPr>
              <w:t>F508del hetero</w:t>
            </w:r>
            <w:r w:rsidRPr="00257B5B">
              <w:rPr>
                <w:rFonts w:ascii="Arial" w:hAnsi="Arial" w:cs="Arial"/>
                <w:b/>
                <w:sz w:val="16"/>
                <w:vertAlign w:val="superscript"/>
                <w:lang w:val="en-US"/>
              </w:rPr>
              <w:t>§§</w:t>
            </w:r>
          </w:p>
          <w:p w:rsidR="00257B5B" w:rsidRPr="00257B5B" w:rsidRDefault="00257B5B" w:rsidP="009A5346">
            <w:pPr>
              <w:spacing w:after="0" w:line="240" w:lineRule="auto"/>
              <w:rPr>
                <w:rFonts w:ascii="Arial" w:hAnsi="Arial" w:cs="Arial"/>
                <w:b/>
                <w:sz w:val="16"/>
                <w:lang w:val="en-US"/>
              </w:rPr>
            </w:pPr>
            <w:r w:rsidRPr="00257B5B">
              <w:rPr>
                <w:rFonts w:ascii="Arial" w:hAnsi="Arial" w:cs="Arial"/>
                <w:b/>
                <w:sz w:val="16"/>
                <w:lang w:val="en-US"/>
              </w:rPr>
              <w:t>others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171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20 (52.63%)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8 (21.05%)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10 (26.32%)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64 (48.12%)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31 (23.31%)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38 (28.57%)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0.8861</w:t>
            </w:r>
            <w:r w:rsidRPr="00257B5B">
              <w:rPr>
                <w:rFonts w:ascii="Arial" w:hAnsi="Arial" w:cs="Arial"/>
                <w:sz w:val="16"/>
                <w:vertAlign w:val="superscript"/>
                <w:lang w:val="en-US"/>
              </w:rPr>
              <w:t>§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171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26 (49.06%)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12 (22.64%)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15 (28.3%)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58 (49.15%)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27 (22.88%)</w:t>
            </w: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33 (27.97%)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  <w:p w:rsidR="00257B5B" w:rsidRPr="00257B5B" w:rsidRDefault="00257B5B" w:rsidP="009A5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57B5B">
              <w:rPr>
                <w:rFonts w:ascii="Arial" w:hAnsi="Arial" w:cs="Arial"/>
                <w:sz w:val="16"/>
                <w:lang w:val="en-US"/>
              </w:rPr>
              <w:t>0.9988</w:t>
            </w:r>
            <w:r w:rsidRPr="00257B5B">
              <w:rPr>
                <w:rFonts w:ascii="Arial" w:hAnsi="Arial" w:cs="Arial"/>
                <w:sz w:val="16"/>
                <w:vertAlign w:val="superscript"/>
                <w:lang w:val="en-US"/>
              </w:rPr>
              <w:t>§</w:t>
            </w:r>
          </w:p>
        </w:tc>
      </w:tr>
    </w:tbl>
    <w:p w:rsidR="00257B5B" w:rsidRDefault="00257B5B" w:rsidP="00257B5B">
      <w:pPr>
        <w:tabs>
          <w:tab w:val="left" w:pos="1987"/>
        </w:tabs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57B5B" w:rsidRDefault="00257B5B" w:rsidP="00257B5B">
      <w:pPr>
        <w:tabs>
          <w:tab w:val="left" w:pos="1987"/>
        </w:tabs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57B5B" w:rsidRDefault="00257B5B" w:rsidP="00257B5B">
      <w:pPr>
        <w:tabs>
          <w:tab w:val="left" w:pos="1987"/>
        </w:tabs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57B5B" w:rsidRDefault="00257B5B" w:rsidP="00257B5B">
      <w:pPr>
        <w:tabs>
          <w:tab w:val="left" w:pos="1987"/>
        </w:tabs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57B5B" w:rsidRDefault="00257B5B" w:rsidP="00257B5B">
      <w:pPr>
        <w:tabs>
          <w:tab w:val="left" w:pos="1987"/>
        </w:tabs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57B5B" w:rsidRDefault="00257B5B" w:rsidP="00257B5B">
      <w:pPr>
        <w:tabs>
          <w:tab w:val="left" w:pos="1987"/>
        </w:tabs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57B5B" w:rsidRDefault="00257B5B" w:rsidP="00257B5B">
      <w:pPr>
        <w:tabs>
          <w:tab w:val="left" w:pos="1987"/>
        </w:tabs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2AA2E" wp14:editId="50778040">
                <wp:simplePos x="0" y="0"/>
                <wp:positionH relativeFrom="column">
                  <wp:posOffset>-227965</wp:posOffset>
                </wp:positionH>
                <wp:positionV relativeFrom="paragraph">
                  <wp:posOffset>132715</wp:posOffset>
                </wp:positionV>
                <wp:extent cx="6774815" cy="5136515"/>
                <wp:effectExtent l="0" t="0" r="6985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815" cy="513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B5B" w:rsidRDefault="00257B5B" w:rsidP="00257B5B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  <w:lang w:val="en-GB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Age, FEV1, BMI and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exacerbation numbers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are reported as </w:t>
                            </w:r>
                            <w:proofErr w:type="gramStart"/>
                            <w:r w:rsidRPr="00AF2B58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median</w:t>
                            </w:r>
                            <w:r w:rsidRPr="00094B9C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(</w:t>
                            </w:r>
                            <w:proofErr w:type="gramEnd"/>
                            <w:r w:rsidRPr="00094B9C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ran</w:t>
                            </w:r>
                            <w:proofErr w:type="spellStart"/>
                            <w:r w:rsidRPr="00094B9C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ge</w:t>
                            </w:r>
                            <w:proofErr w:type="spellEnd"/>
                            <w:r w:rsidRPr="00094B9C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, respectively. Exocrine pancreatic sufficiency and genotype are reported as absolute frequencies (relative frequencies).</w:t>
                            </w:r>
                          </w:p>
                          <w:p w:rsidR="00257B5B" w:rsidRDefault="00257B5B" w:rsidP="00257B5B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  <w:lang w:val="en-US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patients with only one or two nasal swabs were excluded from the analysis (n=7)</w:t>
                            </w:r>
                          </w:p>
                          <w:p w:rsidR="00257B5B" w:rsidRDefault="00257B5B" w:rsidP="00257B5B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  <w:lang w:val="en-US"/>
                              </w:rPr>
                              <w:t>‡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Mann-Whitney U-test</w:t>
                            </w:r>
                          </w:p>
                          <w:p w:rsidR="00257B5B" w:rsidRDefault="00257B5B" w:rsidP="00257B5B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  <w:lang w:val="en-US"/>
                              </w:rPr>
                              <w:t>§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Chi-Quadrat test</w:t>
                            </w:r>
                          </w:p>
                          <w:p w:rsidR="00257B5B" w:rsidRDefault="00257B5B" w:rsidP="00257B5B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  <w:lang w:val="en-US"/>
                              </w:rPr>
                              <w:t>‖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exocrine pancreatic sufficiency</w:t>
                            </w:r>
                          </w:p>
                          <w:p w:rsidR="00257B5B" w:rsidRDefault="00257B5B" w:rsidP="00257B5B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  <w:lang w:val="en-US"/>
                              </w:rPr>
                              <w:t>**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percentage of exacerbations as indicated in CRFs calculated in percentage for every patient with the range</w:t>
                            </w:r>
                          </w:p>
                          <w:p w:rsidR="00257B5B" w:rsidRDefault="00257B5B" w:rsidP="00257B5B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  <w:lang w:val="en-US"/>
                              </w:rPr>
                              <w:t>††</w:t>
                            </w:r>
                            <w:proofErr w:type="spellStart"/>
                            <w:r w:rsidRPr="00E345EC">
                              <w:rPr>
                                <w:rFonts w:ascii="Arial" w:hAnsi="Arial" w:cs="Arial"/>
                                <w:i/>
                                <w:sz w:val="24"/>
                                <w:lang w:val="en-US"/>
                              </w:rPr>
                              <w:t>Cftr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genotype of patients available</w:t>
                            </w:r>
                          </w:p>
                          <w:p w:rsidR="00257B5B" w:rsidRDefault="00257B5B" w:rsidP="00257B5B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  <w:lang w:val="en-US"/>
                              </w:rPr>
                              <w:t>‡‡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F508del homozygous</w:t>
                            </w:r>
                          </w:p>
                          <w:p w:rsidR="00257B5B" w:rsidRDefault="00257B5B" w:rsidP="00257B5B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vertAlign w:val="superscript"/>
                                <w:lang w:val="en-US"/>
                              </w:rPr>
                              <w:t>§§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F508del heterozygous</w:t>
                            </w:r>
                          </w:p>
                          <w:p w:rsidR="00257B5B" w:rsidRPr="0016123F" w:rsidRDefault="00257B5B" w:rsidP="00257B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17.95pt;margin-top:10.45pt;width:533.45pt;height:40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" stroked="f">
                <v:textbox>
                  <w:txbxContent>
                    <w:p w:rsidR="00257B5B" w:rsidRDefault="00257B5B" w:rsidP="00257B5B">
                      <w:pPr>
                        <w:spacing w:after="0" w:line="480" w:lineRule="auto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vertAlign w:val="superscript"/>
                          <w:lang w:val="en-GB"/>
                        </w:rPr>
                        <w:t>*</w:t>
                      </w: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 xml:space="preserve">Age, FEV1, BMI and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exacerbation numbers</w:t>
                      </w: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 xml:space="preserve">are reported as </w:t>
                      </w:r>
                      <w:proofErr w:type="gramStart"/>
                      <w:r w:rsidRPr="00AF2B58">
                        <w:rPr>
                          <w:rFonts w:ascii="Arial" w:hAnsi="Arial" w:cs="Arial"/>
                          <w:sz w:val="24"/>
                          <w:lang w:val="en-GB"/>
                        </w:rPr>
                        <w:t>median</w:t>
                      </w:r>
                      <w:r w:rsidRPr="00094B9C">
                        <w:rPr>
                          <w:rFonts w:ascii="Arial" w:hAnsi="Arial" w:cs="Arial"/>
                          <w:sz w:val="24"/>
                          <w:lang w:val="en-GB"/>
                        </w:rPr>
                        <w:t>(</w:t>
                      </w:r>
                      <w:proofErr w:type="gramEnd"/>
                      <w:r w:rsidRPr="00094B9C">
                        <w:rPr>
                          <w:rFonts w:ascii="Arial" w:hAnsi="Arial" w:cs="Arial"/>
                          <w:sz w:val="24"/>
                          <w:lang w:val="en-GB"/>
                        </w:rPr>
                        <w:t>ran</w:t>
                      </w:r>
                      <w:proofErr w:type="spellStart"/>
                      <w:r w:rsidRPr="00094B9C">
                        <w:rPr>
                          <w:rFonts w:ascii="Arial" w:hAnsi="Arial" w:cs="Arial"/>
                          <w:sz w:val="24"/>
                          <w:lang w:val="en-US"/>
                        </w:rPr>
                        <w:t>ge</w:t>
                      </w:r>
                      <w:proofErr w:type="spellEnd"/>
                      <w:r w:rsidRPr="00094B9C">
                        <w:rPr>
                          <w:rFonts w:ascii="Arial" w:hAnsi="Arial" w:cs="Arial"/>
                          <w:sz w:val="24"/>
                          <w:lang w:val="en-US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, respectively. Exocrine pancreatic sufficiency and genotype are reported as absolute frequencies (relative frequencies).</w:t>
                      </w:r>
                    </w:p>
                    <w:p w:rsidR="00257B5B" w:rsidRDefault="00257B5B" w:rsidP="00257B5B">
                      <w:pPr>
                        <w:spacing w:after="0" w:line="480" w:lineRule="auto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vertAlign w:val="superscript"/>
                          <w:lang w:val="en-US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patients with only one or two nasal swabs were excluded from the analysis (n=7)</w:t>
                      </w:r>
                    </w:p>
                    <w:p w:rsidR="00257B5B" w:rsidRDefault="00257B5B" w:rsidP="00257B5B">
                      <w:pPr>
                        <w:spacing w:after="0" w:line="480" w:lineRule="auto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vertAlign w:val="superscript"/>
                          <w:lang w:val="en-US"/>
                        </w:rPr>
                        <w:t>‡</w:t>
                      </w: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Mann-Whitney U-test</w:t>
                      </w:r>
                    </w:p>
                    <w:p w:rsidR="00257B5B" w:rsidRDefault="00257B5B" w:rsidP="00257B5B">
                      <w:pPr>
                        <w:spacing w:after="0" w:line="480" w:lineRule="auto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vertAlign w:val="superscript"/>
                          <w:lang w:val="en-US"/>
                        </w:rPr>
                        <w:t>§</w:t>
                      </w: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Chi-Quadrat test</w:t>
                      </w:r>
                    </w:p>
                    <w:p w:rsidR="00257B5B" w:rsidRDefault="00257B5B" w:rsidP="00257B5B">
                      <w:pPr>
                        <w:spacing w:after="0" w:line="480" w:lineRule="auto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vertAlign w:val="superscript"/>
                          <w:lang w:val="en-US"/>
                        </w:rPr>
                        <w:t>‖</w:t>
                      </w: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exocrine pancreatic sufficiency</w:t>
                      </w:r>
                    </w:p>
                    <w:p w:rsidR="00257B5B" w:rsidRDefault="00257B5B" w:rsidP="00257B5B">
                      <w:pPr>
                        <w:spacing w:after="0" w:line="480" w:lineRule="auto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vertAlign w:val="superscript"/>
                          <w:lang w:val="en-US"/>
                        </w:rPr>
                        <w:t>**</w:t>
                      </w: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percentage of exacerbations as indicated in CRFs calculated in percentage for every patient with the range</w:t>
                      </w:r>
                    </w:p>
                    <w:p w:rsidR="00257B5B" w:rsidRDefault="00257B5B" w:rsidP="00257B5B">
                      <w:pPr>
                        <w:spacing w:after="0" w:line="480" w:lineRule="auto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vertAlign w:val="superscript"/>
                          <w:lang w:val="en-US"/>
                        </w:rPr>
                        <w:t>††</w:t>
                      </w:r>
                      <w:proofErr w:type="spellStart"/>
                      <w:r w:rsidRPr="00E345EC">
                        <w:rPr>
                          <w:rFonts w:ascii="Arial" w:hAnsi="Arial" w:cs="Arial"/>
                          <w:i/>
                          <w:sz w:val="24"/>
                          <w:lang w:val="en-US"/>
                        </w:rPr>
                        <w:t>Cftr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genotype of patients available</w:t>
                      </w:r>
                    </w:p>
                    <w:p w:rsidR="00257B5B" w:rsidRDefault="00257B5B" w:rsidP="00257B5B">
                      <w:pPr>
                        <w:spacing w:after="0" w:line="480" w:lineRule="auto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vertAlign w:val="superscript"/>
                          <w:lang w:val="en-US"/>
                        </w:rPr>
                        <w:t>‡‡</w:t>
                      </w: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F508del homozygous</w:t>
                      </w:r>
                    </w:p>
                    <w:p w:rsidR="00257B5B" w:rsidRDefault="00257B5B" w:rsidP="00257B5B">
                      <w:pPr>
                        <w:spacing w:after="0" w:line="480" w:lineRule="auto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vertAlign w:val="superscript"/>
                          <w:lang w:val="en-US"/>
                        </w:rPr>
                        <w:t>§§</w:t>
                      </w: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F508del heterozygous</w:t>
                      </w:r>
                    </w:p>
                    <w:p w:rsidR="00257B5B" w:rsidRPr="0016123F" w:rsidRDefault="00257B5B" w:rsidP="00257B5B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4A6C" w:rsidRDefault="00257B5B"/>
    <w:sectPr w:rsidR="00034A6C" w:rsidSect="00257B5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5B"/>
    <w:rsid w:val="00257B5B"/>
    <w:rsid w:val="008606EA"/>
    <w:rsid w:val="00B3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B5B"/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B5B"/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Kahl B</dc:creator>
  <cp:lastModifiedBy>Kahl B</cp:lastModifiedBy>
  <cp:revision>1</cp:revision>
  <dcterms:created xsi:type="dcterms:W3CDTF">2016-11-04T09:40:00Z</dcterms:created>
  <dcterms:modified xsi:type="dcterms:W3CDTF">2016-11-04T09:43:00Z</dcterms:modified>
</cp:coreProperties>
</file>