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D8" w:rsidRPr="001C30FF" w:rsidRDefault="006F5371" w:rsidP="001C3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Quality assessment of included studies</w:t>
      </w:r>
    </w:p>
    <w:p w:rsidR="001C30FF" w:rsidRDefault="001C30FF" w:rsidP="001C30FF">
      <w:pPr>
        <w:spacing w:before="240"/>
        <w:jc w:val="both"/>
        <w:rPr>
          <w:sz w:val="24"/>
          <w:szCs w:val="24"/>
        </w:rPr>
      </w:pPr>
    </w:p>
    <w:p w:rsidR="00957D1E" w:rsidRPr="001C30FF" w:rsidRDefault="00FE2BD8" w:rsidP="001C30FF">
      <w:pPr>
        <w:spacing w:before="240"/>
        <w:jc w:val="both"/>
        <w:rPr>
          <w:sz w:val="24"/>
          <w:szCs w:val="24"/>
        </w:rPr>
      </w:pPr>
      <w:r w:rsidRPr="001C30FF">
        <w:rPr>
          <w:sz w:val="24"/>
          <w:szCs w:val="24"/>
        </w:rPr>
        <w:t xml:space="preserve">Three assessors independently rated the quality of the studies included in both meta-analysis and narrative synthesis based on Hayden JA, et al 2006. The quality appraisal criteria </w:t>
      </w:r>
      <w:r w:rsidR="007C438C" w:rsidRPr="001C30FF">
        <w:rPr>
          <w:sz w:val="24"/>
          <w:szCs w:val="24"/>
        </w:rPr>
        <w:t>are</w:t>
      </w:r>
      <w:r w:rsidR="00957D1E" w:rsidRPr="001C30FF">
        <w:rPr>
          <w:sz w:val="24"/>
          <w:szCs w:val="24"/>
        </w:rPr>
        <w:t xml:space="preserve"> based on items listed in </w:t>
      </w:r>
      <w:r w:rsidR="00833F0A">
        <w:rPr>
          <w:sz w:val="24"/>
          <w:szCs w:val="24"/>
        </w:rPr>
        <w:t>S</w:t>
      </w:r>
      <w:r w:rsidR="003E048E">
        <w:rPr>
          <w:sz w:val="24"/>
          <w:szCs w:val="24"/>
        </w:rPr>
        <w:t>1</w:t>
      </w:r>
      <w:r w:rsidR="00957D1E" w:rsidRPr="001C30FF">
        <w:rPr>
          <w:sz w:val="24"/>
          <w:szCs w:val="24"/>
        </w:rPr>
        <w:t xml:space="preserve"> </w:t>
      </w:r>
      <w:r w:rsidR="00833F0A">
        <w:rPr>
          <w:sz w:val="24"/>
          <w:szCs w:val="24"/>
        </w:rPr>
        <w:t>Table</w:t>
      </w:r>
      <w:r w:rsidR="00957D1E" w:rsidRPr="001C30FF">
        <w:rPr>
          <w:sz w:val="24"/>
          <w:szCs w:val="24"/>
        </w:rPr>
        <w:t xml:space="preserve">. Confounding, which is also part of Hayden’s appraisal tool, was not assessed in our pre and post study designs </w:t>
      </w:r>
      <w:r w:rsidR="006B2C43">
        <w:rPr>
          <w:sz w:val="24"/>
          <w:szCs w:val="24"/>
        </w:rPr>
        <w:t>because</w:t>
      </w:r>
      <w:r w:rsidR="00957D1E" w:rsidRPr="001C30FF">
        <w:rPr>
          <w:sz w:val="24"/>
          <w:szCs w:val="24"/>
        </w:rPr>
        <w:t xml:space="preserve"> each </w:t>
      </w:r>
      <w:r w:rsidR="00406177" w:rsidRPr="001C30FF">
        <w:rPr>
          <w:sz w:val="24"/>
          <w:szCs w:val="24"/>
        </w:rPr>
        <w:t>participant was his/her control.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957D1E" w:rsidRPr="001C30FF" w:rsidTr="00801D58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D1E" w:rsidRPr="001C30FF" w:rsidRDefault="008845FC" w:rsidP="004C4827">
            <w:pPr>
              <w:spacing w:before="240"/>
              <w:jc w:val="both"/>
              <w:rPr>
                <w:sz w:val="24"/>
                <w:szCs w:val="24"/>
              </w:rPr>
            </w:pPr>
            <w:r w:rsidRPr="00833F0A">
              <w:rPr>
                <w:sz w:val="24"/>
                <w:szCs w:val="24"/>
              </w:rPr>
              <w:t>S</w:t>
            </w:r>
            <w:r w:rsidR="003E048E">
              <w:rPr>
                <w:sz w:val="24"/>
                <w:szCs w:val="24"/>
              </w:rPr>
              <w:t>1</w:t>
            </w:r>
            <w:r w:rsidR="007C438C" w:rsidRPr="00833F0A">
              <w:rPr>
                <w:sz w:val="24"/>
                <w:szCs w:val="24"/>
              </w:rPr>
              <w:t xml:space="preserve"> </w:t>
            </w:r>
            <w:r w:rsidR="00833F0A" w:rsidRPr="00833F0A">
              <w:rPr>
                <w:sz w:val="24"/>
                <w:szCs w:val="24"/>
              </w:rPr>
              <w:t>Table</w:t>
            </w:r>
            <w:r w:rsidR="004C4827">
              <w:rPr>
                <w:sz w:val="24"/>
                <w:szCs w:val="24"/>
              </w:rPr>
              <w:t>. Quality appraisal criteria.</w:t>
            </w:r>
            <w:bookmarkStart w:id="0" w:name="_GoBack"/>
            <w:bookmarkEnd w:id="0"/>
          </w:p>
        </w:tc>
      </w:tr>
      <w:tr w:rsidR="00957D1E" w:rsidRPr="001C30FF" w:rsidTr="00801D58">
        <w:tc>
          <w:tcPr>
            <w:tcW w:w="9039" w:type="dxa"/>
            <w:tcBorders>
              <w:top w:val="single" w:sz="4" w:space="0" w:color="auto"/>
            </w:tcBorders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b/>
                <w:sz w:val="24"/>
                <w:szCs w:val="24"/>
              </w:rPr>
              <w:t>Study population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Source population clearly defined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Study population described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Study population represents source population or population of interest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b/>
                <w:sz w:val="24"/>
                <w:szCs w:val="24"/>
              </w:rPr>
            </w:pPr>
            <w:r w:rsidRPr="001C30FF">
              <w:rPr>
                <w:b/>
                <w:sz w:val="24"/>
                <w:szCs w:val="24"/>
              </w:rPr>
              <w:t>Study attrition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Completeness of follow-up described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Completeness of follow-up adequate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b/>
                <w:sz w:val="24"/>
                <w:szCs w:val="24"/>
              </w:rPr>
            </w:pPr>
            <w:r w:rsidRPr="001C30FF">
              <w:rPr>
                <w:b/>
                <w:sz w:val="24"/>
                <w:szCs w:val="24"/>
              </w:rPr>
              <w:t>Prognostic factor measurement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Prognostic factors defined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Prognostic factors measured appropriately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b/>
                <w:sz w:val="24"/>
                <w:szCs w:val="24"/>
              </w:rPr>
            </w:pPr>
            <w:r w:rsidRPr="001C30FF">
              <w:rPr>
                <w:b/>
                <w:sz w:val="24"/>
                <w:szCs w:val="24"/>
              </w:rPr>
              <w:t>Outcome measurement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Outcome defined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Outcome measured appropriately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b/>
                <w:sz w:val="24"/>
                <w:szCs w:val="24"/>
              </w:rPr>
            </w:pPr>
            <w:r w:rsidRPr="001C30FF">
              <w:rPr>
                <w:b/>
                <w:sz w:val="24"/>
                <w:szCs w:val="24"/>
              </w:rPr>
              <w:t>Analysis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Analysis described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Analysis appropriate</w:t>
            </w:r>
          </w:p>
        </w:tc>
      </w:tr>
      <w:tr w:rsidR="00957D1E" w:rsidRPr="001C30FF" w:rsidTr="00801D58">
        <w:tc>
          <w:tcPr>
            <w:tcW w:w="9039" w:type="dxa"/>
          </w:tcPr>
          <w:p w:rsidR="00957D1E" w:rsidRPr="001C30FF" w:rsidRDefault="00957D1E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Analysis provided sufficient presentation of data</w:t>
            </w:r>
          </w:p>
        </w:tc>
      </w:tr>
    </w:tbl>
    <w:p w:rsidR="00957D1E" w:rsidRPr="001C30FF" w:rsidRDefault="007C438C" w:rsidP="001C30FF">
      <w:pPr>
        <w:spacing w:after="0" w:line="240" w:lineRule="auto"/>
        <w:jc w:val="both"/>
        <w:rPr>
          <w:sz w:val="20"/>
          <w:szCs w:val="20"/>
        </w:rPr>
      </w:pPr>
      <w:r w:rsidRPr="001C30FF">
        <w:rPr>
          <w:sz w:val="20"/>
          <w:szCs w:val="20"/>
        </w:rPr>
        <w:t xml:space="preserve">Source: </w:t>
      </w:r>
      <w:r w:rsidR="00957D1E" w:rsidRPr="001C30FF">
        <w:rPr>
          <w:sz w:val="20"/>
          <w:szCs w:val="20"/>
        </w:rPr>
        <w:t>Hayden JA, Cote P, Bombardier C. Evaluation of the quality of prognostic studies in systematic reviews. Ann Intern Med 2006; 144:427-437.</w:t>
      </w:r>
    </w:p>
    <w:p w:rsidR="001C30FF" w:rsidRDefault="001C30F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7D1E" w:rsidRPr="001C30FF" w:rsidRDefault="00957D1E" w:rsidP="001C30FF">
      <w:pPr>
        <w:spacing w:before="240"/>
        <w:jc w:val="both"/>
        <w:rPr>
          <w:b/>
          <w:sz w:val="28"/>
          <w:szCs w:val="28"/>
        </w:rPr>
      </w:pPr>
      <w:r w:rsidRPr="001C30FF">
        <w:rPr>
          <w:b/>
          <w:sz w:val="28"/>
          <w:szCs w:val="28"/>
        </w:rPr>
        <w:lastRenderedPageBreak/>
        <w:t>Results</w:t>
      </w:r>
    </w:p>
    <w:p w:rsidR="00FE2BD8" w:rsidRPr="001C30FF" w:rsidRDefault="00FE2BD8" w:rsidP="0082356B">
      <w:pPr>
        <w:spacing w:before="240"/>
        <w:jc w:val="both"/>
        <w:rPr>
          <w:sz w:val="24"/>
          <w:szCs w:val="24"/>
        </w:rPr>
      </w:pPr>
      <w:r w:rsidRPr="001C30FF">
        <w:rPr>
          <w:sz w:val="24"/>
          <w:szCs w:val="24"/>
        </w:rPr>
        <w:t xml:space="preserve">Percent agreement was calculated together with Cohen’s Kappa coefficient that measured the inter-rater agreement. </w:t>
      </w:r>
      <w:r w:rsidR="007C438C" w:rsidRPr="001C30FF">
        <w:rPr>
          <w:sz w:val="24"/>
          <w:szCs w:val="24"/>
        </w:rPr>
        <w:t xml:space="preserve">The </w:t>
      </w:r>
      <w:proofErr w:type="spellStart"/>
      <w:r w:rsidR="007C438C" w:rsidRPr="001C30FF">
        <w:rPr>
          <w:sz w:val="24"/>
          <w:szCs w:val="24"/>
        </w:rPr>
        <w:t>raters</w:t>
      </w:r>
      <w:proofErr w:type="spellEnd"/>
      <w:r w:rsidR="007C438C" w:rsidRPr="001C30FF">
        <w:rPr>
          <w:sz w:val="24"/>
          <w:szCs w:val="24"/>
        </w:rPr>
        <w:t xml:space="preserve"> were asked to decide whether potential bias in each of the listed items in </w:t>
      </w:r>
      <w:r w:rsidR="00BA282D">
        <w:rPr>
          <w:sz w:val="24"/>
          <w:szCs w:val="24"/>
        </w:rPr>
        <w:t>S</w:t>
      </w:r>
      <w:r w:rsidR="003E048E">
        <w:rPr>
          <w:sz w:val="24"/>
          <w:szCs w:val="24"/>
        </w:rPr>
        <w:t>2</w:t>
      </w:r>
      <w:r w:rsidR="00BA282D">
        <w:rPr>
          <w:sz w:val="24"/>
          <w:szCs w:val="24"/>
        </w:rPr>
        <w:t xml:space="preserve"> </w:t>
      </w:r>
      <w:r w:rsidR="007C438C" w:rsidRPr="001C30FF">
        <w:rPr>
          <w:sz w:val="24"/>
          <w:szCs w:val="24"/>
        </w:rPr>
        <w:t>Appendix</w:t>
      </w:r>
      <w:r w:rsidR="00D8610D">
        <w:rPr>
          <w:sz w:val="24"/>
          <w:szCs w:val="24"/>
        </w:rPr>
        <w:t>,</w:t>
      </w:r>
      <w:r w:rsidR="007C438C" w:rsidRPr="001C30FF">
        <w:rPr>
          <w:sz w:val="24"/>
          <w:szCs w:val="24"/>
        </w:rPr>
        <w:t xml:space="preserve"> </w:t>
      </w:r>
      <w:r w:rsidR="00BA282D">
        <w:rPr>
          <w:sz w:val="24"/>
          <w:szCs w:val="24"/>
        </w:rPr>
        <w:t>S</w:t>
      </w:r>
      <w:r w:rsidR="003E048E">
        <w:rPr>
          <w:sz w:val="24"/>
          <w:szCs w:val="24"/>
        </w:rPr>
        <w:t>2</w:t>
      </w:r>
      <w:r w:rsidR="00BA282D">
        <w:rPr>
          <w:sz w:val="24"/>
          <w:szCs w:val="24"/>
        </w:rPr>
        <w:t xml:space="preserve"> Table </w:t>
      </w:r>
      <w:r w:rsidR="007C438C" w:rsidRPr="001C30FF">
        <w:rPr>
          <w:sz w:val="24"/>
          <w:szCs w:val="24"/>
        </w:rPr>
        <w:t xml:space="preserve">was accounted for, partially accounted for, or not accounted for. Results are shown in </w:t>
      </w:r>
      <w:r w:rsidR="00BA282D">
        <w:rPr>
          <w:sz w:val="24"/>
          <w:szCs w:val="24"/>
        </w:rPr>
        <w:t>S1 Appendix</w:t>
      </w:r>
      <w:r w:rsidR="00D8610D">
        <w:rPr>
          <w:sz w:val="24"/>
          <w:szCs w:val="24"/>
        </w:rPr>
        <w:t>,</w:t>
      </w:r>
      <w:r w:rsidR="00BA282D">
        <w:rPr>
          <w:sz w:val="24"/>
          <w:szCs w:val="24"/>
        </w:rPr>
        <w:t xml:space="preserve"> </w:t>
      </w:r>
      <w:r w:rsidR="00BA282D" w:rsidRPr="001C30FF">
        <w:rPr>
          <w:sz w:val="24"/>
          <w:szCs w:val="24"/>
        </w:rPr>
        <w:t>S2</w:t>
      </w:r>
      <w:r w:rsidR="00BA282D">
        <w:rPr>
          <w:sz w:val="24"/>
          <w:szCs w:val="24"/>
        </w:rPr>
        <w:t xml:space="preserve"> Table</w:t>
      </w:r>
      <w:r w:rsidR="007C438C" w:rsidRPr="001C30FF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871"/>
        <w:gridCol w:w="871"/>
        <w:gridCol w:w="871"/>
      </w:tblGrid>
      <w:tr w:rsidR="007C438C" w:rsidRPr="001C30FF" w:rsidTr="007C438C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8C" w:rsidRPr="001C30FF" w:rsidRDefault="00BA282D" w:rsidP="0082356B">
            <w:pPr>
              <w:spacing w:before="240"/>
              <w:jc w:val="both"/>
              <w:rPr>
                <w:sz w:val="24"/>
                <w:szCs w:val="24"/>
              </w:rPr>
            </w:pPr>
            <w:r w:rsidRPr="00BA282D">
              <w:rPr>
                <w:sz w:val="24"/>
                <w:szCs w:val="24"/>
              </w:rPr>
              <w:t xml:space="preserve">S2 </w:t>
            </w:r>
            <w:r>
              <w:rPr>
                <w:sz w:val="24"/>
                <w:szCs w:val="24"/>
              </w:rPr>
              <w:t xml:space="preserve">Table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C438C" w:rsidRPr="001C30FF">
              <w:rPr>
                <w:sz w:val="24"/>
                <w:szCs w:val="24"/>
              </w:rPr>
              <w:t>Accounting for potential bias as independently rated by three assessors</w:t>
            </w:r>
          </w:p>
        </w:tc>
      </w:tr>
      <w:tr w:rsidR="00FE2BD8" w:rsidRPr="001C30FF" w:rsidTr="007C438C">
        <w:tc>
          <w:tcPr>
            <w:tcW w:w="6629" w:type="dxa"/>
            <w:tcBorders>
              <w:top w:val="single" w:sz="4" w:space="0" w:color="auto"/>
            </w:tcBorders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FE2BD8" w:rsidRPr="001C30FF" w:rsidRDefault="00FE2BD8" w:rsidP="001C30FF">
            <w:pPr>
              <w:jc w:val="both"/>
              <w:rPr>
                <w:b/>
                <w:sz w:val="24"/>
                <w:szCs w:val="24"/>
              </w:rPr>
            </w:pPr>
            <w:r w:rsidRPr="001C30FF">
              <w:rPr>
                <w:b/>
                <w:sz w:val="24"/>
                <w:szCs w:val="24"/>
              </w:rPr>
              <w:t>GM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FE2BD8" w:rsidRPr="001C30FF" w:rsidRDefault="00FE2BD8" w:rsidP="001C30FF">
            <w:pPr>
              <w:jc w:val="both"/>
              <w:rPr>
                <w:b/>
                <w:sz w:val="24"/>
                <w:szCs w:val="24"/>
              </w:rPr>
            </w:pPr>
            <w:r w:rsidRPr="001C30FF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FE2BD8" w:rsidRPr="001C30FF" w:rsidRDefault="00F74050" w:rsidP="001C30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TDV</w:t>
            </w:r>
          </w:p>
        </w:tc>
      </w:tr>
      <w:tr w:rsidR="00FE2BD8" w:rsidRPr="001C30FF" w:rsidTr="00E86E8E">
        <w:tc>
          <w:tcPr>
            <w:tcW w:w="6629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Potential bias was accounted for in studies, %</w:t>
            </w:r>
          </w:p>
        </w:tc>
        <w:tc>
          <w:tcPr>
            <w:tcW w:w="871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67.8</w:t>
            </w:r>
          </w:p>
        </w:tc>
        <w:tc>
          <w:tcPr>
            <w:tcW w:w="871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66.3</w:t>
            </w:r>
          </w:p>
        </w:tc>
        <w:tc>
          <w:tcPr>
            <w:tcW w:w="871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62.3</w:t>
            </w:r>
          </w:p>
        </w:tc>
      </w:tr>
      <w:tr w:rsidR="00FE2BD8" w:rsidRPr="001C30FF" w:rsidTr="00E86E8E">
        <w:tc>
          <w:tcPr>
            <w:tcW w:w="6629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Potential bias was partially accounted for in studies, %</w:t>
            </w:r>
          </w:p>
        </w:tc>
        <w:tc>
          <w:tcPr>
            <w:tcW w:w="871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26.2</w:t>
            </w:r>
          </w:p>
        </w:tc>
        <w:tc>
          <w:tcPr>
            <w:tcW w:w="871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19.3</w:t>
            </w:r>
          </w:p>
        </w:tc>
        <w:tc>
          <w:tcPr>
            <w:tcW w:w="871" w:type="dxa"/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26.6</w:t>
            </w:r>
          </w:p>
        </w:tc>
      </w:tr>
      <w:tr w:rsidR="00FE2BD8" w:rsidRPr="001C30FF" w:rsidTr="007C438C">
        <w:tc>
          <w:tcPr>
            <w:tcW w:w="6629" w:type="dxa"/>
            <w:tcBorders>
              <w:bottom w:val="single" w:sz="4" w:space="0" w:color="auto"/>
            </w:tcBorders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Potential bias was not accounted for in studies / missing information, %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6.0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14.4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E2BD8" w:rsidRPr="001C30FF" w:rsidRDefault="00FE2BD8" w:rsidP="001C30FF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4"/>
                <w:szCs w:val="24"/>
              </w:rPr>
              <w:t>11.1</w:t>
            </w:r>
          </w:p>
        </w:tc>
      </w:tr>
      <w:tr w:rsidR="007C438C" w:rsidRPr="001C30FF" w:rsidTr="007C438C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8C" w:rsidRPr="001C30FF" w:rsidRDefault="007C438C" w:rsidP="001C30FF">
            <w:pPr>
              <w:jc w:val="both"/>
              <w:rPr>
                <w:sz w:val="20"/>
                <w:szCs w:val="20"/>
              </w:rPr>
            </w:pPr>
            <w:r w:rsidRPr="001C30FF">
              <w:rPr>
                <w:sz w:val="20"/>
                <w:szCs w:val="20"/>
              </w:rPr>
              <w:t>GM: Assessed the quality of studies included in meta-analysis</w:t>
            </w:r>
          </w:p>
          <w:p w:rsidR="007C438C" w:rsidRPr="001C30FF" w:rsidRDefault="007C438C" w:rsidP="001C30FF">
            <w:pPr>
              <w:jc w:val="both"/>
              <w:rPr>
                <w:sz w:val="20"/>
                <w:szCs w:val="20"/>
              </w:rPr>
            </w:pPr>
            <w:r w:rsidRPr="001C30FF">
              <w:rPr>
                <w:sz w:val="20"/>
                <w:szCs w:val="20"/>
              </w:rPr>
              <w:t>AM: Assessed the quality of studies included in narrative synthesis</w:t>
            </w:r>
          </w:p>
          <w:p w:rsidR="007C438C" w:rsidRPr="001C30FF" w:rsidRDefault="007C438C" w:rsidP="00F74050">
            <w:pPr>
              <w:jc w:val="both"/>
              <w:rPr>
                <w:sz w:val="24"/>
                <w:szCs w:val="24"/>
              </w:rPr>
            </w:pPr>
            <w:r w:rsidRPr="001C30FF">
              <w:rPr>
                <w:sz w:val="20"/>
                <w:szCs w:val="20"/>
              </w:rPr>
              <w:t>T</w:t>
            </w:r>
            <w:r w:rsidR="00F74050">
              <w:rPr>
                <w:sz w:val="20"/>
                <w:szCs w:val="20"/>
              </w:rPr>
              <w:t>DV</w:t>
            </w:r>
            <w:r w:rsidRPr="001C30FF">
              <w:rPr>
                <w:sz w:val="20"/>
                <w:szCs w:val="20"/>
              </w:rPr>
              <w:t>: Assessed the quality of all studies</w:t>
            </w:r>
          </w:p>
        </w:tc>
      </w:tr>
    </w:tbl>
    <w:p w:rsidR="007C438C" w:rsidRPr="001C30FF" w:rsidRDefault="007C438C" w:rsidP="001C30FF">
      <w:pPr>
        <w:spacing w:before="240" w:after="0"/>
        <w:jc w:val="both"/>
        <w:rPr>
          <w:sz w:val="24"/>
          <w:szCs w:val="24"/>
        </w:rPr>
      </w:pPr>
      <w:r w:rsidRPr="001C30FF">
        <w:rPr>
          <w:sz w:val="24"/>
          <w:szCs w:val="24"/>
        </w:rPr>
        <w:t xml:space="preserve">The combined Kappa coefficient for all three </w:t>
      </w:r>
      <w:proofErr w:type="spellStart"/>
      <w:r w:rsidRPr="001C30FF">
        <w:rPr>
          <w:sz w:val="24"/>
          <w:szCs w:val="24"/>
        </w:rPr>
        <w:t>raters</w:t>
      </w:r>
      <w:proofErr w:type="spellEnd"/>
      <w:r w:rsidRPr="001C30FF">
        <w:rPr>
          <w:sz w:val="24"/>
          <w:szCs w:val="24"/>
        </w:rPr>
        <w:t xml:space="preserve"> was 0.56 (95% CI 0.53-0.67) showing moderate agre</w:t>
      </w:r>
      <w:r w:rsidR="00AD0115">
        <w:rPr>
          <w:sz w:val="24"/>
          <w:szCs w:val="24"/>
        </w:rPr>
        <w:t xml:space="preserve">ement. These were similar when </w:t>
      </w:r>
      <w:r w:rsidRPr="001C30FF">
        <w:rPr>
          <w:sz w:val="24"/>
          <w:szCs w:val="24"/>
        </w:rPr>
        <w:t>T</w:t>
      </w:r>
      <w:r w:rsidR="00AD0115">
        <w:rPr>
          <w:sz w:val="24"/>
          <w:szCs w:val="24"/>
        </w:rPr>
        <w:t>DV</w:t>
      </w:r>
      <w:r w:rsidRPr="001C30FF">
        <w:rPr>
          <w:sz w:val="24"/>
          <w:szCs w:val="24"/>
        </w:rPr>
        <w:t xml:space="preserve"> ratings were compared with those with GM [Kappa 0.57 (95% CI 0.54-0.62)] or AM [Kappa 0.55 (95% CI 0.37-0.67)]</w:t>
      </w:r>
    </w:p>
    <w:p w:rsidR="00FE2BD8" w:rsidRPr="001C30FF" w:rsidRDefault="00FE2BD8" w:rsidP="001C30FF">
      <w:pPr>
        <w:jc w:val="both"/>
        <w:rPr>
          <w:sz w:val="24"/>
          <w:szCs w:val="24"/>
        </w:rPr>
      </w:pPr>
    </w:p>
    <w:sectPr w:rsidR="00FE2BD8" w:rsidRPr="001C30FF" w:rsidSect="00E873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36" w:rsidRDefault="00F97236" w:rsidP="00EB7179">
      <w:pPr>
        <w:spacing w:after="0" w:line="240" w:lineRule="auto"/>
      </w:pPr>
      <w:r>
        <w:separator/>
      </w:r>
    </w:p>
  </w:endnote>
  <w:endnote w:type="continuationSeparator" w:id="0">
    <w:p w:rsidR="00F97236" w:rsidRDefault="00F97236" w:rsidP="00EB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130704"/>
      <w:docPartObj>
        <w:docPartGallery w:val="Page Numbers (Bottom of Page)"/>
        <w:docPartUnique/>
      </w:docPartObj>
    </w:sdtPr>
    <w:sdtEndPr/>
    <w:sdtContent>
      <w:p w:rsidR="00EB7179" w:rsidRDefault="00F36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179" w:rsidRDefault="00EB7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36" w:rsidRDefault="00F97236" w:rsidP="00EB7179">
      <w:pPr>
        <w:spacing w:after="0" w:line="240" w:lineRule="auto"/>
      </w:pPr>
      <w:r>
        <w:separator/>
      </w:r>
    </w:p>
  </w:footnote>
  <w:footnote w:type="continuationSeparator" w:id="0">
    <w:p w:rsidR="00F97236" w:rsidRDefault="00F97236" w:rsidP="00EB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5A1"/>
    <w:multiLevelType w:val="hybridMultilevel"/>
    <w:tmpl w:val="7FE26352"/>
    <w:lvl w:ilvl="0" w:tplc="A774BFB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D"/>
    <w:rsid w:val="0000513C"/>
    <w:rsid w:val="00196C1A"/>
    <w:rsid w:val="001C30FF"/>
    <w:rsid w:val="00207CE6"/>
    <w:rsid w:val="00211B8D"/>
    <w:rsid w:val="00245909"/>
    <w:rsid w:val="0026697F"/>
    <w:rsid w:val="00307DAE"/>
    <w:rsid w:val="00374B08"/>
    <w:rsid w:val="00377C7D"/>
    <w:rsid w:val="003E048E"/>
    <w:rsid w:val="00402863"/>
    <w:rsid w:val="00406177"/>
    <w:rsid w:val="00406694"/>
    <w:rsid w:val="00415B6D"/>
    <w:rsid w:val="004C4827"/>
    <w:rsid w:val="006B2C43"/>
    <w:rsid w:val="006F5371"/>
    <w:rsid w:val="007376CC"/>
    <w:rsid w:val="007C438C"/>
    <w:rsid w:val="00801D58"/>
    <w:rsid w:val="0082356B"/>
    <w:rsid w:val="00833F0A"/>
    <w:rsid w:val="008845FC"/>
    <w:rsid w:val="008918E7"/>
    <w:rsid w:val="00957D1E"/>
    <w:rsid w:val="009611D0"/>
    <w:rsid w:val="009809AF"/>
    <w:rsid w:val="00AD0115"/>
    <w:rsid w:val="00B7215F"/>
    <w:rsid w:val="00B7682D"/>
    <w:rsid w:val="00BA282D"/>
    <w:rsid w:val="00C50D5E"/>
    <w:rsid w:val="00D8610D"/>
    <w:rsid w:val="00E15719"/>
    <w:rsid w:val="00E15DF7"/>
    <w:rsid w:val="00E5435A"/>
    <w:rsid w:val="00E634DF"/>
    <w:rsid w:val="00E63862"/>
    <w:rsid w:val="00E86E8E"/>
    <w:rsid w:val="00E8739C"/>
    <w:rsid w:val="00EB7179"/>
    <w:rsid w:val="00F36E69"/>
    <w:rsid w:val="00F74050"/>
    <w:rsid w:val="00F97236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32883-FF77-41CD-AB49-D3D63F94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D8"/>
    <w:pPr>
      <w:ind w:left="720"/>
      <w:contextualSpacing/>
    </w:pPr>
  </w:style>
  <w:style w:type="table" w:styleId="TableGrid">
    <w:name w:val="Table Grid"/>
    <w:basedOn w:val="TableNormal"/>
    <w:uiPriority w:val="59"/>
    <w:rsid w:val="00F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179"/>
  </w:style>
  <w:style w:type="paragraph" w:styleId="Footer">
    <w:name w:val="footer"/>
    <w:basedOn w:val="Normal"/>
    <w:link w:val="FooterChar"/>
    <w:uiPriority w:val="99"/>
    <w:unhideWhenUsed/>
    <w:rsid w:val="00EB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59FA860A.dotm</Template>
  <TotalTime>0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gemnatzaganian</dc:creator>
  <cp:lastModifiedBy>Adriana Milazzo</cp:lastModifiedBy>
  <cp:revision>2</cp:revision>
  <dcterms:created xsi:type="dcterms:W3CDTF">2016-10-29T05:35:00Z</dcterms:created>
  <dcterms:modified xsi:type="dcterms:W3CDTF">2016-10-29T05:35:00Z</dcterms:modified>
</cp:coreProperties>
</file>