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D7D" w:rsidRPr="00770823" w:rsidRDefault="00476D7D" w:rsidP="00476D7D">
      <w:pPr>
        <w:pStyle w:val="Heading2"/>
      </w:pPr>
      <w:r>
        <w:t>S1</w:t>
      </w:r>
      <w:r w:rsidRPr="00770823">
        <w:t xml:space="preserve"> Table:  COSMIN criteria for measurement properties </w:t>
      </w:r>
    </w:p>
    <w:tbl>
      <w:tblPr>
        <w:tblStyle w:val="TableGrid22"/>
        <w:tblW w:w="9468" w:type="dxa"/>
        <w:tblLook w:val="0000" w:firstRow="0" w:lastRow="0" w:firstColumn="0" w:lastColumn="0" w:noHBand="0" w:noVBand="0"/>
      </w:tblPr>
      <w:tblGrid>
        <w:gridCol w:w="2142"/>
        <w:gridCol w:w="849"/>
        <w:gridCol w:w="6477"/>
      </w:tblGrid>
      <w:tr w:rsidR="00476D7D" w:rsidRPr="00770823" w:rsidTr="0098163D">
        <w:trPr>
          <w:trHeight w:val="270"/>
        </w:trPr>
        <w:tc>
          <w:tcPr>
            <w:tcW w:w="2142" w:type="dxa"/>
            <w:shd w:val="clear" w:color="auto" w:fill="DEEAF6" w:themeFill="accent1" w:themeFillTint="33"/>
            <w:noWrap/>
          </w:tcPr>
          <w:p w:rsidR="00476D7D" w:rsidRPr="00770823" w:rsidRDefault="00476D7D" w:rsidP="0098163D">
            <w:pPr>
              <w:spacing w:before="40" w:after="40" w:line="240" w:lineRule="auto"/>
              <w:rPr>
                <w:rFonts w:ascii="Times New Roman" w:hAnsi="Times New Roman" w:cs="Times New Roman"/>
                <w:b/>
                <w:bCs/>
                <w:sz w:val="18"/>
                <w:szCs w:val="18"/>
                <w:lang w:val="en-US"/>
              </w:rPr>
            </w:pPr>
            <w:r w:rsidRPr="00770823">
              <w:rPr>
                <w:rFonts w:ascii="Times New Roman" w:hAnsi="Times New Roman" w:cs="Times New Roman"/>
                <w:b/>
                <w:bCs/>
                <w:sz w:val="18"/>
                <w:szCs w:val="18"/>
                <w:lang w:val="en-US"/>
              </w:rPr>
              <w:t>Property</w:t>
            </w:r>
          </w:p>
        </w:tc>
        <w:tc>
          <w:tcPr>
            <w:tcW w:w="849" w:type="dxa"/>
            <w:shd w:val="clear" w:color="auto" w:fill="DEEAF6" w:themeFill="accent1" w:themeFillTint="33"/>
            <w:noWrap/>
          </w:tcPr>
          <w:p w:rsidR="00476D7D" w:rsidRPr="00770823" w:rsidRDefault="00476D7D" w:rsidP="0098163D">
            <w:pPr>
              <w:spacing w:before="40" w:after="40" w:line="240" w:lineRule="auto"/>
              <w:jc w:val="center"/>
              <w:rPr>
                <w:rFonts w:ascii="Times New Roman" w:hAnsi="Times New Roman" w:cs="Times New Roman"/>
                <w:b/>
                <w:bCs/>
                <w:sz w:val="18"/>
                <w:szCs w:val="18"/>
                <w:lang w:val="en-US"/>
              </w:rPr>
            </w:pPr>
            <w:r w:rsidRPr="00770823">
              <w:rPr>
                <w:rFonts w:ascii="Times New Roman" w:hAnsi="Times New Roman" w:cs="Times New Roman"/>
                <w:b/>
                <w:bCs/>
                <w:sz w:val="18"/>
                <w:szCs w:val="18"/>
                <w:lang w:val="en-US"/>
              </w:rPr>
              <w:t>Rating</w:t>
            </w:r>
            <w:r w:rsidRPr="00770823">
              <w:rPr>
                <w:rFonts w:ascii="Times New Roman" w:hAnsi="Times New Roman" w:cs="Times New Roman"/>
                <w:b/>
                <w:sz w:val="18"/>
                <w:szCs w:val="18"/>
                <w:vertAlign w:val="superscript"/>
                <w:lang w:val="en-US"/>
              </w:rPr>
              <w:t>†</w:t>
            </w:r>
          </w:p>
        </w:tc>
        <w:tc>
          <w:tcPr>
            <w:tcW w:w="6477" w:type="dxa"/>
            <w:shd w:val="clear" w:color="auto" w:fill="DEEAF6" w:themeFill="accent1" w:themeFillTint="33"/>
            <w:noWrap/>
          </w:tcPr>
          <w:p w:rsidR="00476D7D" w:rsidRPr="00770823" w:rsidRDefault="00476D7D" w:rsidP="0098163D">
            <w:pPr>
              <w:spacing w:before="40" w:after="40" w:line="240" w:lineRule="auto"/>
              <w:rPr>
                <w:rFonts w:ascii="Times New Roman" w:hAnsi="Times New Roman" w:cs="Times New Roman"/>
                <w:b/>
                <w:bCs/>
                <w:sz w:val="18"/>
                <w:szCs w:val="18"/>
                <w:lang w:val="en-US"/>
              </w:rPr>
            </w:pPr>
            <w:r w:rsidRPr="00770823">
              <w:rPr>
                <w:rFonts w:ascii="Times New Roman" w:hAnsi="Times New Roman" w:cs="Times New Roman"/>
                <w:b/>
                <w:bCs/>
                <w:sz w:val="18"/>
                <w:szCs w:val="18"/>
                <w:lang w:val="en-US"/>
              </w:rPr>
              <w:t>Quality Criteria</w:t>
            </w:r>
          </w:p>
        </w:tc>
      </w:tr>
      <w:tr w:rsidR="00476D7D" w:rsidRPr="00770823" w:rsidTr="0098163D">
        <w:trPr>
          <w:trHeight w:val="270"/>
        </w:trPr>
        <w:tc>
          <w:tcPr>
            <w:tcW w:w="9468" w:type="dxa"/>
            <w:gridSpan w:val="3"/>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b/>
                <w:bCs/>
                <w:sz w:val="18"/>
                <w:szCs w:val="18"/>
                <w:lang w:val="en-US"/>
              </w:rPr>
            </w:pPr>
            <w:r w:rsidRPr="00770823">
              <w:rPr>
                <w:rFonts w:ascii="Times New Roman" w:hAnsi="Times New Roman" w:cs="Times New Roman"/>
                <w:b/>
                <w:bCs/>
                <w:sz w:val="18"/>
                <w:szCs w:val="18"/>
                <w:lang w:val="en-US"/>
              </w:rPr>
              <w:t>Reliability</w:t>
            </w:r>
          </w:p>
        </w:tc>
      </w:tr>
      <w:tr w:rsidR="00476D7D" w:rsidRPr="00770823" w:rsidTr="0098163D">
        <w:trPr>
          <w:trHeight w:val="255"/>
        </w:trPr>
        <w:tc>
          <w:tcPr>
            <w:tcW w:w="2142" w:type="dxa"/>
            <w:vMerge w:val="restart"/>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sz w:val="18"/>
                <w:szCs w:val="18"/>
                <w:lang w:val="en-US"/>
              </w:rPr>
            </w:pPr>
            <w:r w:rsidRPr="00770823">
              <w:rPr>
                <w:rFonts w:ascii="Times New Roman" w:hAnsi="Times New Roman" w:cs="Times New Roman"/>
                <w:sz w:val="18"/>
                <w:szCs w:val="18"/>
                <w:lang w:val="en-US"/>
              </w:rPr>
              <w:t>Internal consistency</w:t>
            </w:r>
          </w:p>
        </w:tc>
        <w:tc>
          <w:tcPr>
            <w:tcW w:w="849" w:type="dxa"/>
            <w:shd w:val="clear" w:color="auto" w:fill="F2F2F2" w:themeFill="background1" w:themeFillShade="F2"/>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F2F2F2" w:themeFill="background1" w:themeFillShade="F2"/>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Cronbach's alpha(s) ≥ 0.70</w:t>
            </w:r>
          </w:p>
        </w:tc>
      </w:tr>
      <w:tr w:rsidR="00476D7D" w:rsidRPr="00770823" w:rsidTr="0098163D">
        <w:trPr>
          <w:trHeight w:val="255"/>
        </w:trPr>
        <w:tc>
          <w:tcPr>
            <w:tcW w:w="2142" w:type="dxa"/>
            <w:vMerge/>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F2F2F2" w:themeFill="background1" w:themeFillShade="F2"/>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F2F2F2" w:themeFill="background1" w:themeFillShade="F2"/>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Cronbach's alpha not determined or dimensionality unknown</w:t>
            </w:r>
          </w:p>
        </w:tc>
      </w:tr>
      <w:tr w:rsidR="00476D7D" w:rsidRPr="00770823" w:rsidTr="0098163D">
        <w:trPr>
          <w:trHeight w:val="255"/>
        </w:trPr>
        <w:tc>
          <w:tcPr>
            <w:tcW w:w="2142" w:type="dxa"/>
            <w:vMerge/>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F2F2F2" w:themeFill="background1" w:themeFillShade="F2"/>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F2F2F2" w:themeFill="background1" w:themeFillShade="F2"/>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Cronbach's alpha(s) &lt; 0.70</w:t>
            </w:r>
          </w:p>
        </w:tc>
      </w:tr>
      <w:tr w:rsidR="00476D7D" w:rsidRPr="00770823" w:rsidTr="0098163D">
        <w:trPr>
          <w:trHeight w:val="255"/>
        </w:trPr>
        <w:tc>
          <w:tcPr>
            <w:tcW w:w="2142" w:type="dxa"/>
            <w:vMerge w:val="restart"/>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sz w:val="18"/>
                <w:szCs w:val="18"/>
                <w:lang w:val="en-US"/>
              </w:rPr>
            </w:pPr>
            <w:r w:rsidRPr="00770823">
              <w:rPr>
                <w:rFonts w:ascii="Times New Roman" w:hAnsi="Times New Roman" w:cs="Times New Roman"/>
                <w:sz w:val="18"/>
                <w:szCs w:val="18"/>
                <w:lang w:val="en-US"/>
              </w:rPr>
              <w:t>Test-retest reliability</w:t>
            </w:r>
          </w:p>
        </w:tc>
        <w:tc>
          <w:tcPr>
            <w:tcW w:w="849" w:type="dxa"/>
            <w:shd w:val="clear" w:color="auto" w:fill="F2F2F2" w:themeFill="background1" w:themeFillShade="F2"/>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F2F2F2" w:themeFill="background1" w:themeFillShade="F2"/>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ICC / weighted Kappa ≥ 0.70 OR Pearson’s r ≥ 0.80</w:t>
            </w:r>
          </w:p>
        </w:tc>
      </w:tr>
      <w:tr w:rsidR="00476D7D" w:rsidRPr="00770823" w:rsidTr="0098163D">
        <w:trPr>
          <w:trHeight w:val="255"/>
        </w:trPr>
        <w:tc>
          <w:tcPr>
            <w:tcW w:w="2142" w:type="dxa"/>
            <w:vMerge/>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F2F2F2" w:themeFill="background1" w:themeFillShade="F2"/>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F2F2F2" w:themeFill="background1" w:themeFillShade="F2"/>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Neither ICC / weighted Kappa, nor Pearson’s r determined</w:t>
            </w:r>
          </w:p>
        </w:tc>
      </w:tr>
      <w:tr w:rsidR="00476D7D" w:rsidRPr="00770823" w:rsidTr="0098163D">
        <w:trPr>
          <w:trHeight w:val="255"/>
        </w:trPr>
        <w:tc>
          <w:tcPr>
            <w:tcW w:w="2142" w:type="dxa"/>
            <w:vMerge/>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F2F2F2" w:themeFill="background1" w:themeFillShade="F2"/>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F2F2F2" w:themeFill="background1" w:themeFillShade="F2"/>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ICC / weighted Kappa &lt; 0.70 OR Pearson’s r &lt; 0.80</w:t>
            </w:r>
          </w:p>
        </w:tc>
      </w:tr>
      <w:tr w:rsidR="00476D7D" w:rsidRPr="00770823" w:rsidTr="0098163D">
        <w:trPr>
          <w:trHeight w:val="255"/>
        </w:trPr>
        <w:tc>
          <w:tcPr>
            <w:tcW w:w="2142" w:type="dxa"/>
            <w:vMerge w:val="restart"/>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sz w:val="18"/>
                <w:szCs w:val="18"/>
                <w:lang w:val="en-US"/>
              </w:rPr>
            </w:pPr>
            <w:r w:rsidRPr="00770823">
              <w:rPr>
                <w:rFonts w:ascii="Times New Roman" w:hAnsi="Times New Roman" w:cs="Times New Roman"/>
                <w:sz w:val="18"/>
                <w:szCs w:val="18"/>
                <w:lang w:val="en-US"/>
              </w:rPr>
              <w:t>Measurement error</w:t>
            </w:r>
          </w:p>
        </w:tc>
        <w:tc>
          <w:tcPr>
            <w:tcW w:w="849" w:type="dxa"/>
            <w:shd w:val="clear" w:color="auto" w:fill="F2F2F2" w:themeFill="background1" w:themeFillShade="F2"/>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F2F2F2" w:themeFill="background1" w:themeFillShade="F2"/>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MIC &gt; SDC OR MIC outside the LOA</w:t>
            </w:r>
          </w:p>
        </w:tc>
      </w:tr>
      <w:tr w:rsidR="00476D7D" w:rsidRPr="00770823" w:rsidTr="0098163D">
        <w:trPr>
          <w:trHeight w:val="255"/>
        </w:trPr>
        <w:tc>
          <w:tcPr>
            <w:tcW w:w="2142" w:type="dxa"/>
            <w:vMerge/>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F2F2F2" w:themeFill="background1" w:themeFillShade="F2"/>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F2F2F2" w:themeFill="background1" w:themeFillShade="F2"/>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MIC not defined</w:t>
            </w:r>
          </w:p>
        </w:tc>
      </w:tr>
      <w:tr w:rsidR="00476D7D" w:rsidRPr="00770823" w:rsidTr="0098163D">
        <w:trPr>
          <w:trHeight w:val="180"/>
        </w:trPr>
        <w:tc>
          <w:tcPr>
            <w:tcW w:w="2142" w:type="dxa"/>
            <w:vMerge/>
            <w:shd w:val="clear" w:color="auto" w:fill="F2F2F2" w:themeFill="background1" w:themeFillShade="F2"/>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F2F2F2" w:themeFill="background1" w:themeFillShade="F2"/>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F2F2F2" w:themeFill="background1" w:themeFillShade="F2"/>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MIC ≤ SDC OR MIC equals or inside LOA</w:t>
            </w:r>
          </w:p>
        </w:tc>
      </w:tr>
      <w:tr w:rsidR="00476D7D" w:rsidRPr="00770823" w:rsidTr="0098163D">
        <w:trPr>
          <w:trHeight w:val="255"/>
        </w:trPr>
        <w:tc>
          <w:tcPr>
            <w:tcW w:w="9468" w:type="dxa"/>
            <w:gridSpan w:val="3"/>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b/>
                <w:bCs/>
                <w:sz w:val="18"/>
                <w:szCs w:val="18"/>
                <w:lang w:val="en-US"/>
              </w:rPr>
              <w:t>Validity</w:t>
            </w:r>
          </w:p>
        </w:tc>
      </w:tr>
      <w:tr w:rsidR="00476D7D" w:rsidRPr="00770823" w:rsidTr="0098163D">
        <w:trPr>
          <w:trHeight w:val="255"/>
        </w:trPr>
        <w:tc>
          <w:tcPr>
            <w:tcW w:w="2142" w:type="dxa"/>
            <w:vMerge w:val="restart"/>
            <w:shd w:val="clear" w:color="auto" w:fill="D9D9D9" w:themeFill="background1" w:themeFillShade="D9"/>
            <w:noWrap/>
          </w:tcPr>
          <w:p w:rsidR="00476D7D" w:rsidRPr="00770823" w:rsidRDefault="00476D7D" w:rsidP="0098163D">
            <w:pPr>
              <w:spacing w:before="40" w:after="40" w:line="240" w:lineRule="auto"/>
              <w:rPr>
                <w:rFonts w:ascii="Times New Roman" w:hAnsi="Times New Roman" w:cs="Times New Roman"/>
                <w:sz w:val="18"/>
                <w:szCs w:val="18"/>
                <w:lang w:val="en-US"/>
              </w:rPr>
            </w:pPr>
            <w:r w:rsidRPr="00770823">
              <w:rPr>
                <w:rFonts w:ascii="Times New Roman" w:hAnsi="Times New Roman" w:cs="Times New Roman"/>
                <w:sz w:val="18"/>
                <w:szCs w:val="18"/>
                <w:lang w:val="en-US"/>
              </w:rPr>
              <w:t>Content validity</w:t>
            </w: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All items are considered to be relevant for the construct to be measured, for the target population, and for the purpose of the measurement AND the questionnaire is considered to be comprehensive</w:t>
            </w:r>
          </w:p>
        </w:tc>
      </w:tr>
      <w:tr w:rsidR="00476D7D" w:rsidRPr="00770823" w:rsidTr="0098163D">
        <w:trPr>
          <w:trHeight w:val="255"/>
        </w:trPr>
        <w:tc>
          <w:tcPr>
            <w:tcW w:w="2142" w:type="dxa"/>
            <w:vMerge/>
            <w:shd w:val="clear" w:color="auto" w:fill="D9D9D9" w:themeFill="background1" w:themeFillShade="D9"/>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Not enough information available</w:t>
            </w:r>
          </w:p>
        </w:tc>
      </w:tr>
      <w:tr w:rsidR="00476D7D" w:rsidRPr="00770823" w:rsidTr="0098163D">
        <w:trPr>
          <w:trHeight w:val="375"/>
        </w:trPr>
        <w:tc>
          <w:tcPr>
            <w:tcW w:w="2142" w:type="dxa"/>
            <w:vMerge/>
            <w:shd w:val="clear" w:color="auto" w:fill="D9D9D9" w:themeFill="background1" w:themeFillShade="D9"/>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Not all items are considered to be relevant for the construct to be measured, for the target population, and for the purpose of the measurement OR the questionnaire is considered not to be comprehensive</w:t>
            </w:r>
          </w:p>
        </w:tc>
      </w:tr>
      <w:tr w:rsidR="00476D7D" w:rsidRPr="00770823" w:rsidTr="00476D7D">
        <w:trPr>
          <w:trHeight w:val="255"/>
        </w:trPr>
        <w:tc>
          <w:tcPr>
            <w:tcW w:w="9468" w:type="dxa"/>
            <w:gridSpan w:val="3"/>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Construct validity</w:t>
            </w:r>
          </w:p>
        </w:tc>
      </w:tr>
      <w:tr w:rsidR="00476D7D" w:rsidRPr="00770823" w:rsidTr="001B1104">
        <w:trPr>
          <w:trHeight w:val="255"/>
        </w:trPr>
        <w:tc>
          <w:tcPr>
            <w:tcW w:w="2142" w:type="dxa"/>
            <w:vMerge w:val="restart"/>
            <w:shd w:val="clear" w:color="auto" w:fill="D9D9D9" w:themeFill="background1" w:themeFillShade="D9"/>
            <w:noWrap/>
          </w:tcPr>
          <w:p w:rsidR="00476D7D" w:rsidRPr="00476D7D" w:rsidRDefault="00476D7D" w:rsidP="00476D7D">
            <w:pPr>
              <w:pStyle w:val="ListParagraph"/>
              <w:numPr>
                <w:ilvl w:val="0"/>
                <w:numId w:val="1"/>
              </w:numPr>
              <w:spacing w:before="40" w:after="40" w:line="240" w:lineRule="auto"/>
              <w:rPr>
                <w:rFonts w:ascii="Times New Roman" w:hAnsi="Times New Roman" w:cs="Times New Roman"/>
                <w:i/>
                <w:sz w:val="18"/>
                <w:szCs w:val="18"/>
                <w:lang w:val="en-US"/>
              </w:rPr>
            </w:pPr>
            <w:r w:rsidRPr="00476D7D">
              <w:rPr>
                <w:rFonts w:ascii="Times New Roman" w:hAnsi="Times New Roman" w:cs="Times New Roman"/>
                <w:i/>
                <w:sz w:val="18"/>
                <w:szCs w:val="18"/>
                <w:lang w:val="en-US"/>
              </w:rPr>
              <w:t>Structural validity</w:t>
            </w: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Factors should explain at least 50% of the variance</w:t>
            </w:r>
          </w:p>
        </w:tc>
      </w:tr>
      <w:tr w:rsidR="00476D7D" w:rsidRPr="00770823" w:rsidTr="001B1104">
        <w:trPr>
          <w:trHeight w:val="255"/>
        </w:trPr>
        <w:tc>
          <w:tcPr>
            <w:tcW w:w="2142" w:type="dxa"/>
            <w:vMerge/>
            <w:shd w:val="clear" w:color="auto" w:fill="D9D9D9" w:themeFill="background1" w:themeFillShade="D9"/>
            <w:noWrap/>
          </w:tcPr>
          <w:p w:rsidR="00476D7D" w:rsidRPr="00476D7D" w:rsidRDefault="00476D7D" w:rsidP="00476D7D">
            <w:pPr>
              <w:pStyle w:val="ListParagraph"/>
              <w:numPr>
                <w:ilvl w:val="0"/>
                <w:numId w:val="1"/>
              </w:numPr>
              <w:spacing w:before="40" w:after="40" w:line="240" w:lineRule="auto"/>
              <w:rPr>
                <w:rFonts w:ascii="Times New Roman" w:hAnsi="Times New Roman" w:cs="Times New Roman"/>
                <w:i/>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Explained variance not mentioned</w:t>
            </w:r>
          </w:p>
        </w:tc>
      </w:tr>
      <w:tr w:rsidR="00476D7D" w:rsidRPr="00770823" w:rsidTr="001B1104">
        <w:trPr>
          <w:trHeight w:val="255"/>
        </w:trPr>
        <w:tc>
          <w:tcPr>
            <w:tcW w:w="2142" w:type="dxa"/>
            <w:vMerge/>
            <w:shd w:val="clear" w:color="auto" w:fill="D9D9D9" w:themeFill="background1" w:themeFillShade="D9"/>
            <w:noWrap/>
          </w:tcPr>
          <w:p w:rsidR="00476D7D" w:rsidRPr="00476D7D" w:rsidRDefault="00476D7D" w:rsidP="00476D7D">
            <w:pPr>
              <w:pStyle w:val="ListParagraph"/>
              <w:numPr>
                <w:ilvl w:val="0"/>
                <w:numId w:val="1"/>
              </w:numPr>
              <w:spacing w:before="40" w:after="40" w:line="240" w:lineRule="auto"/>
              <w:rPr>
                <w:rFonts w:ascii="Times New Roman" w:hAnsi="Times New Roman" w:cs="Times New Roman"/>
                <w:i/>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Factors explain &lt; 50% of the variance</w:t>
            </w:r>
          </w:p>
        </w:tc>
      </w:tr>
      <w:tr w:rsidR="00476D7D" w:rsidRPr="00770823" w:rsidTr="00701705">
        <w:trPr>
          <w:trHeight w:val="255"/>
        </w:trPr>
        <w:tc>
          <w:tcPr>
            <w:tcW w:w="2142" w:type="dxa"/>
            <w:vMerge w:val="restart"/>
            <w:shd w:val="clear" w:color="auto" w:fill="D9D9D9" w:themeFill="background1" w:themeFillShade="D9"/>
            <w:noWrap/>
          </w:tcPr>
          <w:p w:rsidR="00476D7D" w:rsidRPr="00476D7D" w:rsidRDefault="00476D7D" w:rsidP="00476D7D">
            <w:pPr>
              <w:pStyle w:val="ListParagraph"/>
              <w:numPr>
                <w:ilvl w:val="0"/>
                <w:numId w:val="1"/>
              </w:numPr>
              <w:rPr>
                <w:rFonts w:ascii="Times New Roman" w:hAnsi="Times New Roman" w:cs="Times New Roman"/>
                <w:i/>
                <w:sz w:val="18"/>
                <w:szCs w:val="18"/>
                <w:lang w:val="en-US"/>
              </w:rPr>
            </w:pPr>
            <w:r w:rsidRPr="00476D7D">
              <w:rPr>
                <w:rFonts w:ascii="Times New Roman" w:hAnsi="Times New Roman" w:cs="Times New Roman"/>
                <w:i/>
                <w:sz w:val="18"/>
                <w:szCs w:val="18"/>
                <w:lang w:val="en-US"/>
              </w:rPr>
              <w:t>Hypothesis testing</w:t>
            </w: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Correlations with instruments measuring the same construct ≥ 0.50 OR at least 75% of the results are in accordance with the hypotheses AND correlations with related constructs are higher than with unrelated constructs</w:t>
            </w:r>
          </w:p>
        </w:tc>
      </w:tr>
      <w:tr w:rsidR="00476D7D" w:rsidRPr="00770823" w:rsidTr="00701705">
        <w:trPr>
          <w:trHeight w:val="255"/>
        </w:trPr>
        <w:tc>
          <w:tcPr>
            <w:tcW w:w="2142" w:type="dxa"/>
            <w:vMerge/>
            <w:shd w:val="clear" w:color="auto" w:fill="D9D9D9" w:themeFill="background1" w:themeFillShade="D9"/>
            <w:noWrap/>
          </w:tcPr>
          <w:p w:rsidR="00476D7D" w:rsidRPr="00476D7D" w:rsidRDefault="00476D7D" w:rsidP="00476D7D">
            <w:pPr>
              <w:pStyle w:val="ListParagraph"/>
              <w:numPr>
                <w:ilvl w:val="0"/>
                <w:numId w:val="1"/>
              </w:numPr>
              <w:spacing w:before="40" w:after="40" w:line="240" w:lineRule="auto"/>
              <w:rPr>
                <w:rFonts w:ascii="Times New Roman" w:hAnsi="Times New Roman" w:cs="Times New Roman"/>
                <w:i/>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Solely correlations determined with unrelated constructs</w:t>
            </w:r>
          </w:p>
        </w:tc>
      </w:tr>
      <w:tr w:rsidR="00476D7D" w:rsidRPr="00770823" w:rsidTr="00701705">
        <w:trPr>
          <w:trHeight w:val="255"/>
        </w:trPr>
        <w:tc>
          <w:tcPr>
            <w:tcW w:w="2142" w:type="dxa"/>
            <w:vMerge/>
            <w:shd w:val="clear" w:color="auto" w:fill="D9D9D9" w:themeFill="background1" w:themeFillShade="D9"/>
            <w:noWrap/>
          </w:tcPr>
          <w:p w:rsidR="00476D7D" w:rsidRPr="00476D7D" w:rsidRDefault="00476D7D" w:rsidP="00476D7D">
            <w:pPr>
              <w:pStyle w:val="ListParagraph"/>
              <w:numPr>
                <w:ilvl w:val="0"/>
                <w:numId w:val="1"/>
              </w:numPr>
              <w:spacing w:before="40" w:after="40" w:line="240" w:lineRule="auto"/>
              <w:rPr>
                <w:rFonts w:ascii="Times New Roman" w:hAnsi="Times New Roman" w:cs="Times New Roman"/>
                <w:i/>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476D7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Correlations with instruments measuring the same construct &lt; 0.50 OR &lt; 75% of the results are in accordance with the hypotheses OR correlations with related constructs are lower than with unrelated constructs</w:t>
            </w:r>
          </w:p>
        </w:tc>
      </w:tr>
      <w:tr w:rsidR="00476D7D" w:rsidRPr="00770823" w:rsidTr="00776635">
        <w:trPr>
          <w:trHeight w:val="255"/>
        </w:trPr>
        <w:tc>
          <w:tcPr>
            <w:tcW w:w="2142" w:type="dxa"/>
            <w:vMerge w:val="restart"/>
            <w:shd w:val="clear" w:color="auto" w:fill="D9D9D9" w:themeFill="background1" w:themeFillShade="D9"/>
            <w:noWrap/>
          </w:tcPr>
          <w:p w:rsidR="00476D7D" w:rsidRPr="00476D7D" w:rsidRDefault="00476D7D" w:rsidP="00476D7D">
            <w:pPr>
              <w:pStyle w:val="ListParagraph"/>
              <w:numPr>
                <w:ilvl w:val="0"/>
                <w:numId w:val="1"/>
              </w:numPr>
              <w:spacing w:before="40" w:after="40" w:line="240" w:lineRule="auto"/>
              <w:rPr>
                <w:rFonts w:ascii="Times New Roman" w:hAnsi="Times New Roman" w:cs="Times New Roman"/>
                <w:bCs/>
                <w:i/>
                <w:sz w:val="18"/>
                <w:szCs w:val="18"/>
                <w:lang w:val="en-US"/>
              </w:rPr>
            </w:pPr>
            <w:r w:rsidRPr="00476D7D">
              <w:rPr>
                <w:rFonts w:ascii="Times New Roman" w:hAnsi="Times New Roman" w:cs="Times New Roman"/>
                <w:i/>
                <w:sz w:val="18"/>
                <w:szCs w:val="18"/>
                <w:lang w:val="en-US"/>
              </w:rPr>
              <w:t>Cross-cultural validity</w:t>
            </w: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pStyle w:val="CommentText"/>
              <w:spacing w:before="40" w:after="40"/>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No differences in factor structure OR no important DIF between language versions</w:t>
            </w:r>
          </w:p>
        </w:tc>
      </w:tr>
      <w:tr w:rsidR="00476D7D" w:rsidRPr="00770823" w:rsidTr="00776635">
        <w:trPr>
          <w:trHeight w:val="255"/>
        </w:trPr>
        <w:tc>
          <w:tcPr>
            <w:tcW w:w="2142" w:type="dxa"/>
            <w:vMerge/>
            <w:shd w:val="clear" w:color="auto" w:fill="D9D9D9" w:themeFill="background1" w:themeFillShade="D9"/>
            <w:noWrap/>
          </w:tcPr>
          <w:p w:rsidR="00476D7D" w:rsidRPr="00770823" w:rsidRDefault="00476D7D" w:rsidP="0098163D">
            <w:pPr>
              <w:spacing w:before="40" w:after="40" w:line="240" w:lineRule="auto"/>
              <w:rPr>
                <w:rFonts w:ascii="Times New Roman" w:hAnsi="Times New Roman" w:cs="Times New Roman"/>
                <w:bCs/>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pStyle w:val="CommentText"/>
              <w:spacing w:before="40" w:after="40"/>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Multiple group factor analysis not applied AND DIF not assessed</w:t>
            </w:r>
          </w:p>
        </w:tc>
      </w:tr>
      <w:tr w:rsidR="00476D7D" w:rsidRPr="00770823" w:rsidTr="00776635">
        <w:trPr>
          <w:trHeight w:val="255"/>
        </w:trPr>
        <w:tc>
          <w:tcPr>
            <w:tcW w:w="2142" w:type="dxa"/>
            <w:vMerge/>
            <w:shd w:val="clear" w:color="auto" w:fill="D9D9D9" w:themeFill="background1" w:themeFillShade="D9"/>
            <w:noWrap/>
          </w:tcPr>
          <w:p w:rsidR="00476D7D" w:rsidRPr="00770823" w:rsidRDefault="00476D7D" w:rsidP="0098163D">
            <w:pPr>
              <w:spacing w:before="40" w:after="40" w:line="240" w:lineRule="auto"/>
              <w:rPr>
                <w:rFonts w:ascii="Times New Roman" w:hAnsi="Times New Roman" w:cs="Times New Roman"/>
                <w:bCs/>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Differences in factor structure OR important DIF between language versions</w:t>
            </w:r>
          </w:p>
        </w:tc>
      </w:tr>
      <w:tr w:rsidR="00476D7D" w:rsidRPr="00770823" w:rsidTr="0098163D">
        <w:trPr>
          <w:trHeight w:val="255"/>
        </w:trPr>
        <w:tc>
          <w:tcPr>
            <w:tcW w:w="2142" w:type="dxa"/>
            <w:vMerge w:val="restart"/>
            <w:shd w:val="clear" w:color="auto" w:fill="D9D9D9" w:themeFill="background1" w:themeFillShade="D9"/>
            <w:noWrap/>
          </w:tcPr>
          <w:p w:rsidR="00476D7D" w:rsidRPr="00770823" w:rsidRDefault="00476D7D" w:rsidP="0098163D">
            <w:pPr>
              <w:spacing w:before="40" w:after="40" w:line="240" w:lineRule="auto"/>
              <w:rPr>
                <w:rFonts w:ascii="Times New Roman" w:hAnsi="Times New Roman" w:cs="Times New Roman"/>
                <w:bCs/>
                <w:sz w:val="18"/>
                <w:szCs w:val="18"/>
                <w:lang w:val="en-US"/>
              </w:rPr>
            </w:pPr>
            <w:r w:rsidRPr="00770823">
              <w:rPr>
                <w:rFonts w:ascii="Times New Roman" w:hAnsi="Times New Roman" w:cs="Times New Roman"/>
                <w:bCs/>
                <w:sz w:val="18"/>
                <w:szCs w:val="18"/>
                <w:lang w:val="en-US"/>
              </w:rPr>
              <w:t>Criterion validity</w:t>
            </w: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Convincing arguments that gold standard is “gold” AND correlation with gold standard ≥ 0.70</w:t>
            </w:r>
          </w:p>
        </w:tc>
      </w:tr>
      <w:tr w:rsidR="00476D7D" w:rsidRPr="00770823" w:rsidTr="0098163D">
        <w:trPr>
          <w:trHeight w:val="255"/>
        </w:trPr>
        <w:tc>
          <w:tcPr>
            <w:tcW w:w="2142" w:type="dxa"/>
            <w:vMerge/>
            <w:shd w:val="clear" w:color="auto" w:fill="D9D9D9" w:themeFill="background1" w:themeFillShade="D9"/>
            <w:noWrap/>
          </w:tcPr>
          <w:p w:rsidR="00476D7D" w:rsidRPr="00770823" w:rsidRDefault="00476D7D" w:rsidP="0098163D">
            <w:pPr>
              <w:spacing w:before="40" w:after="40" w:line="240" w:lineRule="auto"/>
              <w:rPr>
                <w:rFonts w:ascii="Times New Roman" w:hAnsi="Times New Roman" w:cs="Times New Roman"/>
                <w:bCs/>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No convincing arguments that gold standard is “gold”</w:t>
            </w:r>
          </w:p>
        </w:tc>
      </w:tr>
      <w:tr w:rsidR="00476D7D" w:rsidRPr="00770823" w:rsidTr="0098163D">
        <w:trPr>
          <w:trHeight w:val="195"/>
        </w:trPr>
        <w:tc>
          <w:tcPr>
            <w:tcW w:w="2142" w:type="dxa"/>
            <w:vMerge/>
            <w:shd w:val="clear" w:color="auto" w:fill="D9D9D9" w:themeFill="background1" w:themeFillShade="D9"/>
            <w:noWrap/>
          </w:tcPr>
          <w:p w:rsidR="00476D7D" w:rsidRPr="00770823" w:rsidRDefault="00476D7D" w:rsidP="0098163D">
            <w:pPr>
              <w:spacing w:before="40" w:after="40" w:line="240" w:lineRule="auto"/>
              <w:rPr>
                <w:rFonts w:ascii="Times New Roman" w:hAnsi="Times New Roman" w:cs="Times New Roman"/>
                <w:bCs/>
                <w:sz w:val="18"/>
                <w:szCs w:val="18"/>
                <w:lang w:val="en-US"/>
              </w:rPr>
            </w:pPr>
          </w:p>
        </w:tc>
        <w:tc>
          <w:tcPr>
            <w:tcW w:w="849" w:type="dxa"/>
            <w:shd w:val="clear" w:color="auto" w:fill="D9D9D9" w:themeFill="background1" w:themeFillShade="D9"/>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D9D9D9" w:themeFill="background1" w:themeFillShade="D9"/>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Correlation with gold standard &lt; 0.70</w:t>
            </w:r>
          </w:p>
        </w:tc>
      </w:tr>
      <w:tr w:rsidR="00476D7D" w:rsidRPr="00770823" w:rsidTr="0098163D">
        <w:trPr>
          <w:trHeight w:val="255"/>
        </w:trPr>
        <w:tc>
          <w:tcPr>
            <w:tcW w:w="9468" w:type="dxa"/>
            <w:gridSpan w:val="3"/>
            <w:shd w:val="clear" w:color="auto" w:fill="BFBFBF" w:themeFill="background1" w:themeFillShade="BF"/>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b/>
                <w:bCs/>
                <w:sz w:val="18"/>
                <w:szCs w:val="18"/>
                <w:lang w:val="en-US"/>
              </w:rPr>
              <w:t>Responsiveness</w:t>
            </w:r>
          </w:p>
        </w:tc>
      </w:tr>
      <w:tr w:rsidR="00476D7D" w:rsidRPr="00770823" w:rsidTr="0098163D">
        <w:trPr>
          <w:trHeight w:val="255"/>
        </w:trPr>
        <w:tc>
          <w:tcPr>
            <w:tcW w:w="2142" w:type="dxa"/>
            <w:vMerge w:val="restart"/>
            <w:shd w:val="clear" w:color="auto" w:fill="BFBFBF" w:themeFill="background1" w:themeFillShade="BF"/>
            <w:noWrap/>
          </w:tcPr>
          <w:p w:rsidR="00476D7D" w:rsidRPr="00770823" w:rsidRDefault="00476D7D" w:rsidP="0098163D">
            <w:pPr>
              <w:spacing w:before="40" w:after="40" w:line="240" w:lineRule="auto"/>
              <w:rPr>
                <w:rFonts w:ascii="Times New Roman" w:hAnsi="Times New Roman" w:cs="Times New Roman"/>
                <w:sz w:val="18"/>
                <w:szCs w:val="18"/>
                <w:lang w:val="en-US"/>
              </w:rPr>
            </w:pPr>
            <w:r w:rsidRPr="00770823">
              <w:rPr>
                <w:rFonts w:ascii="Times New Roman" w:hAnsi="Times New Roman" w:cs="Times New Roman"/>
                <w:sz w:val="18"/>
                <w:szCs w:val="18"/>
                <w:lang w:val="en-US"/>
              </w:rPr>
              <w:t>Responsiveness</w:t>
            </w:r>
          </w:p>
        </w:tc>
        <w:tc>
          <w:tcPr>
            <w:tcW w:w="849" w:type="dxa"/>
            <w:shd w:val="clear" w:color="auto" w:fill="BFBFBF" w:themeFill="background1" w:themeFillShade="BF"/>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BFBFBF" w:themeFill="background1" w:themeFillShade="BF"/>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Correlation with changes on instruments measuring the same construct ≥ 0.50 OR at least 75% of the results are in accordance with the hypotheses OR AUC ≥ 0.70 AND correlations with changes in related constructs are higher than with unrelated constructs</w:t>
            </w:r>
          </w:p>
        </w:tc>
      </w:tr>
      <w:tr w:rsidR="00476D7D" w:rsidRPr="00770823" w:rsidTr="0098163D">
        <w:trPr>
          <w:trHeight w:val="255"/>
        </w:trPr>
        <w:tc>
          <w:tcPr>
            <w:tcW w:w="2142" w:type="dxa"/>
            <w:vMerge/>
            <w:shd w:val="clear" w:color="auto" w:fill="BFBFBF" w:themeFill="background1" w:themeFillShade="BF"/>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BFBFBF" w:themeFill="background1" w:themeFillShade="BF"/>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BFBFBF" w:themeFill="background1" w:themeFillShade="BF"/>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Solely correlations determined with unrelated constructs</w:t>
            </w:r>
          </w:p>
        </w:tc>
      </w:tr>
      <w:tr w:rsidR="00476D7D" w:rsidRPr="00770823" w:rsidTr="0098163D">
        <w:trPr>
          <w:trHeight w:val="255"/>
        </w:trPr>
        <w:tc>
          <w:tcPr>
            <w:tcW w:w="2142" w:type="dxa"/>
            <w:vMerge/>
            <w:shd w:val="clear" w:color="auto" w:fill="BFBFBF" w:themeFill="background1" w:themeFillShade="BF"/>
            <w:noWrap/>
          </w:tcPr>
          <w:p w:rsidR="00476D7D" w:rsidRPr="00770823" w:rsidRDefault="00476D7D" w:rsidP="0098163D">
            <w:pPr>
              <w:spacing w:before="40" w:after="40" w:line="240" w:lineRule="auto"/>
              <w:rPr>
                <w:rFonts w:ascii="Times New Roman" w:hAnsi="Times New Roman" w:cs="Times New Roman"/>
                <w:sz w:val="18"/>
                <w:szCs w:val="18"/>
                <w:lang w:val="en-US"/>
              </w:rPr>
            </w:pPr>
          </w:p>
        </w:tc>
        <w:tc>
          <w:tcPr>
            <w:tcW w:w="849" w:type="dxa"/>
            <w:shd w:val="clear" w:color="auto" w:fill="BFBFBF" w:themeFill="background1" w:themeFillShade="BF"/>
            <w:noWrap/>
          </w:tcPr>
          <w:p w:rsidR="00476D7D" w:rsidRPr="00770823" w:rsidRDefault="00476D7D" w:rsidP="0098163D">
            <w:pPr>
              <w:spacing w:before="40" w:after="40" w:line="240" w:lineRule="auto"/>
              <w:jc w:val="center"/>
              <w:rPr>
                <w:rFonts w:ascii="Times New Roman" w:hAnsi="Times New Roman" w:cs="Times New Roman"/>
                <w:b/>
                <w:sz w:val="18"/>
                <w:szCs w:val="18"/>
                <w:lang w:val="en-US"/>
              </w:rPr>
            </w:pPr>
            <w:r w:rsidRPr="00770823">
              <w:rPr>
                <w:rFonts w:ascii="Times New Roman" w:hAnsi="Times New Roman" w:cs="Times New Roman"/>
                <w:b/>
                <w:sz w:val="18"/>
                <w:szCs w:val="18"/>
                <w:lang w:val="en-US"/>
              </w:rPr>
              <w:t>-</w:t>
            </w:r>
          </w:p>
        </w:tc>
        <w:tc>
          <w:tcPr>
            <w:tcW w:w="6477" w:type="dxa"/>
            <w:shd w:val="clear" w:color="auto" w:fill="BFBFBF" w:themeFill="background1" w:themeFillShade="BF"/>
            <w:noWrap/>
          </w:tcPr>
          <w:p w:rsidR="00476D7D" w:rsidRPr="00770823" w:rsidRDefault="00476D7D" w:rsidP="0098163D">
            <w:pPr>
              <w:spacing w:before="40" w:after="40" w:line="240" w:lineRule="auto"/>
              <w:jc w:val="both"/>
              <w:rPr>
                <w:rFonts w:ascii="Times New Roman" w:hAnsi="Times New Roman" w:cs="Times New Roman"/>
                <w:sz w:val="18"/>
                <w:szCs w:val="18"/>
                <w:lang w:val="en-US"/>
              </w:rPr>
            </w:pPr>
            <w:r w:rsidRPr="00770823">
              <w:rPr>
                <w:rFonts w:ascii="Times New Roman" w:hAnsi="Times New Roman" w:cs="Times New Roman"/>
                <w:sz w:val="18"/>
                <w:szCs w:val="18"/>
                <w:lang w:val="en-US"/>
              </w:rPr>
              <w:t>Correlations with changes on instruments measuring the same construct &lt; 0.50 OR &lt; 75% of the results are in accordance with the hypotheses OR AUC &lt; 0.70 OR correlations with changes in related constructs are lower than with unrelated constructs</w:t>
            </w:r>
          </w:p>
        </w:tc>
      </w:tr>
    </w:tbl>
    <w:p w:rsidR="00476D7D" w:rsidRPr="00770823" w:rsidRDefault="00476D7D" w:rsidP="00476D7D">
      <w:pPr>
        <w:pStyle w:val="legend"/>
        <w:rPr>
          <w:b/>
          <w:sz w:val="28"/>
        </w:rPr>
      </w:pPr>
      <w:r w:rsidRPr="00770823">
        <w:rPr>
          <w:sz w:val="18"/>
          <w:szCs w:val="18"/>
        </w:rPr>
        <w:t xml:space="preserve"> </w:t>
      </w:r>
      <w:r w:rsidRPr="00770823">
        <w:t xml:space="preserve">AUC, area under the curve; DIF, differential item functioning; ICC, intraclass correlation coefficient; LoA, limits of agreement; MIC, minimal important change; SDC, smallest detectable change.  </w:t>
      </w:r>
      <w:r w:rsidRPr="00770823">
        <w:rPr>
          <w:b/>
          <w:vertAlign w:val="superscript"/>
        </w:rPr>
        <w:t>†</w:t>
      </w:r>
      <w:r w:rsidRPr="00770823">
        <w:t xml:space="preserve"> + = positive rating; ? = indeterminate rating; - = negative rating.  Table adapted from Terwee </w:t>
      </w:r>
      <w:r w:rsidRPr="00770823">
        <w:rPr>
          <w:i/>
        </w:rPr>
        <w:t>et al</w:t>
      </w:r>
      <w:r w:rsidRPr="00770823">
        <w:t>.</w:t>
      </w:r>
      <w:r w:rsidRPr="00770823">
        <w:fldChar w:fldCharType="begin"/>
      </w:r>
      <w:r>
        <w:instrText xml:space="preserve"> ADDIN EN.CITE &lt;EndNote&gt;&lt;Cite&gt;&lt;Author&gt;Terwee&lt;/Author&gt;&lt;Year&gt;2007&lt;/Year&gt;&lt;RecNum&gt;1939&lt;/RecNum&gt;&lt;DisplayText&gt;[17]&lt;/DisplayText&gt;&lt;record&gt;&lt;rec-number&gt;1939&lt;/rec-number&gt;&lt;foreign-keys&gt;&lt;key app="EN" db-id="rsftf2vxwtfv0fe90au5pp0mtvt05dv5dsd0" timestamp="1454327929"&gt;1939&lt;/key&gt;&lt;/foreign-keys&gt;&lt;ref-type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 Clin Epidemiol&lt;/secondary-title&gt;&lt;alt-title&gt;Journal of clinical epidemiology&lt;/alt-title&gt;&lt;/titles&gt;&lt;periodical&gt;&lt;full-title&gt;J Clin Epidemiol&lt;/full-title&gt;&lt;/periodical&gt;&lt;alt-periodical&gt;&lt;full-title&gt;Journal of Clinical Epidemiology&lt;/full-title&gt;&lt;/alt-periodical&gt;&lt;pages&gt;34-42&lt;/pages&gt;&lt;volume&gt;60&lt;/volume&gt;&lt;number&gt;1&lt;/number&gt;&lt;edition&gt;2006/12/13&lt;/edition&gt;&lt;keywords&gt;&lt;keyword&gt;Evaluation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Indicators&lt;/keyword&gt;&lt;keyword&gt;Humans&lt;/keyword&gt;&lt;keyword&gt;Psychometrics&lt;/keyword&gt;&lt;keyword&gt;Reproducibility of Results&lt;/keyword&gt;&lt;keyword&gt;Research Design&lt;/keyword&gt;&lt;keyword&gt;Review Literature as Topic&lt;/keyword&gt;&lt;keyword&gt;Surveys and Questionnaires/*standards&lt;/keyword&gt;&lt;/keywords&gt;&lt;dates&gt;&lt;year&gt;2007&lt;/year&gt;&lt;pub-dates&gt;&lt;date&gt;Jan&lt;/date&gt;&lt;/pub-dates&gt;&lt;/dates&gt;&lt;isbn&gt;0895-4356 (Print)&amp;#xD;0895-4356&lt;/isbn&gt;&lt;accession-num&gt;17161752&lt;/accession-num&gt;&lt;urls&gt;&lt;/urls&gt;&lt;electronic-resource-num&gt;10.1016/j.jclinepi.2006.03.012&lt;/electronic-resource-num&gt;&lt;remote-database-provider&gt;NLM&lt;/remote-database-provider&gt;&lt;language&gt;eng&lt;/language&gt;&lt;/record&gt;&lt;/Cite&gt;&lt;/EndNote&gt;</w:instrText>
      </w:r>
      <w:r w:rsidRPr="00770823">
        <w:fldChar w:fldCharType="separate"/>
      </w:r>
      <w:r>
        <w:rPr>
          <w:noProof/>
        </w:rPr>
        <w:t>[17]</w:t>
      </w:r>
      <w:r w:rsidRPr="00770823">
        <w:fldChar w:fldCharType="end"/>
      </w:r>
      <w:bookmarkStart w:id="0" w:name="_GoBack"/>
      <w:bookmarkEnd w:id="0"/>
    </w:p>
    <w:sectPr w:rsidR="00476D7D" w:rsidRPr="00770823" w:rsidSect="003B03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3E8B"/>
    <w:multiLevelType w:val="hybridMultilevel"/>
    <w:tmpl w:val="3892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44E6E"/>
    <w:multiLevelType w:val="hybridMultilevel"/>
    <w:tmpl w:val="7FD48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7D"/>
    <w:rsid w:val="003B03B8"/>
    <w:rsid w:val="00476D7D"/>
    <w:rsid w:val="00795FCA"/>
    <w:rsid w:val="008D4F72"/>
    <w:rsid w:val="00F07DF4"/>
    <w:rsid w:val="00F535C8"/>
    <w:rsid w:val="00F5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9CAC"/>
  <w15:chartTrackingRefBased/>
  <w15:docId w15:val="{89335872-4BFC-42BD-9510-3D25D3D3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D7D"/>
    <w:pPr>
      <w:spacing w:after="120" w:line="480" w:lineRule="auto"/>
    </w:pPr>
    <w:rPr>
      <w:rFonts w:asciiTheme="majorBidi" w:eastAsiaTheme="minorEastAsia" w:hAnsiTheme="majorBidi" w:cstheme="majorBidi"/>
      <w:sz w:val="24"/>
      <w:szCs w:val="24"/>
      <w:lang w:val="en-GB" w:eastAsia="zh-CN"/>
    </w:rPr>
  </w:style>
  <w:style w:type="paragraph" w:styleId="Heading1">
    <w:name w:val="heading 1"/>
    <w:basedOn w:val="Normal"/>
    <w:next w:val="Normal"/>
    <w:link w:val="Heading1Char"/>
    <w:uiPriority w:val="9"/>
    <w:qFormat/>
    <w:rsid w:val="00476D7D"/>
    <w:pPr>
      <w:outlineLvl w:val="0"/>
    </w:pPr>
    <w:rPr>
      <w:sz w:val="40"/>
      <w:lang w:val="en-US"/>
    </w:rPr>
  </w:style>
  <w:style w:type="paragraph" w:styleId="Heading2">
    <w:name w:val="heading 2"/>
    <w:basedOn w:val="Normal"/>
    <w:next w:val="Normal"/>
    <w:link w:val="Heading2Char"/>
    <w:uiPriority w:val="9"/>
    <w:unhideWhenUsed/>
    <w:qFormat/>
    <w:rsid w:val="00476D7D"/>
    <w:pPr>
      <w:outlineLvl w:val="1"/>
    </w:pPr>
    <w:rPr>
      <w:sz w:val="32"/>
      <w:shd w:val="clear" w:color="auto" w:fill="FFFF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D7D"/>
    <w:rPr>
      <w:rFonts w:asciiTheme="majorBidi" w:eastAsiaTheme="minorEastAsia" w:hAnsiTheme="majorBidi" w:cstheme="majorBidi"/>
      <w:sz w:val="40"/>
      <w:szCs w:val="24"/>
      <w:lang w:eastAsia="zh-CN"/>
    </w:rPr>
  </w:style>
  <w:style w:type="character" w:customStyle="1" w:styleId="Heading2Char">
    <w:name w:val="Heading 2 Char"/>
    <w:basedOn w:val="DefaultParagraphFont"/>
    <w:link w:val="Heading2"/>
    <w:uiPriority w:val="9"/>
    <w:rsid w:val="00476D7D"/>
    <w:rPr>
      <w:rFonts w:asciiTheme="majorBidi" w:eastAsiaTheme="minorEastAsia" w:hAnsiTheme="majorBidi" w:cstheme="majorBidi"/>
      <w:sz w:val="32"/>
      <w:szCs w:val="24"/>
      <w:lang w:eastAsia="zh-CN"/>
    </w:rPr>
  </w:style>
  <w:style w:type="paragraph" w:styleId="CommentText">
    <w:name w:val="annotation text"/>
    <w:basedOn w:val="Normal"/>
    <w:link w:val="CommentTextChar"/>
    <w:unhideWhenUsed/>
    <w:rsid w:val="00476D7D"/>
    <w:pPr>
      <w:spacing w:line="240" w:lineRule="auto"/>
    </w:pPr>
    <w:rPr>
      <w:sz w:val="20"/>
      <w:szCs w:val="20"/>
    </w:rPr>
  </w:style>
  <w:style w:type="character" w:customStyle="1" w:styleId="CommentTextChar">
    <w:name w:val="Comment Text Char"/>
    <w:basedOn w:val="DefaultParagraphFont"/>
    <w:link w:val="CommentText"/>
    <w:rsid w:val="00476D7D"/>
    <w:rPr>
      <w:rFonts w:asciiTheme="majorBidi" w:eastAsiaTheme="minorEastAsia" w:hAnsiTheme="majorBidi" w:cstheme="majorBidi"/>
      <w:sz w:val="20"/>
      <w:szCs w:val="20"/>
      <w:lang w:val="en-GB" w:eastAsia="zh-CN"/>
    </w:rPr>
  </w:style>
  <w:style w:type="table" w:customStyle="1" w:styleId="TableGrid12">
    <w:name w:val="Table Grid12"/>
    <w:basedOn w:val="TableNormal"/>
    <w:next w:val="TableGrid"/>
    <w:uiPriority w:val="39"/>
    <w:rsid w:val="00476D7D"/>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76D7D"/>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end">
    <w:name w:val="legend"/>
    <w:basedOn w:val="Normal"/>
    <w:link w:val="legendChar"/>
    <w:qFormat/>
    <w:rsid w:val="00476D7D"/>
    <w:pPr>
      <w:spacing w:before="120" w:after="0" w:line="240" w:lineRule="auto"/>
    </w:pPr>
    <w:rPr>
      <w:sz w:val="22"/>
      <w:lang w:val="en-US"/>
    </w:rPr>
  </w:style>
  <w:style w:type="character" w:customStyle="1" w:styleId="legendChar">
    <w:name w:val="legend Char"/>
    <w:basedOn w:val="DefaultParagraphFont"/>
    <w:link w:val="legend"/>
    <w:rsid w:val="00476D7D"/>
    <w:rPr>
      <w:rFonts w:asciiTheme="majorBidi" w:eastAsiaTheme="minorEastAsia" w:hAnsiTheme="majorBidi" w:cstheme="majorBidi"/>
      <w:szCs w:val="24"/>
      <w:lang w:eastAsia="zh-CN"/>
    </w:rPr>
  </w:style>
  <w:style w:type="table" w:styleId="TableGrid">
    <w:name w:val="Table Grid"/>
    <w:basedOn w:val="TableNormal"/>
    <w:uiPriority w:val="39"/>
    <w:rsid w:val="00476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Kotecha</dc:creator>
  <cp:keywords/>
  <dc:description/>
  <cp:lastModifiedBy>Dipak Kotecha</cp:lastModifiedBy>
  <cp:revision>1</cp:revision>
  <dcterms:created xsi:type="dcterms:W3CDTF">2016-10-20T15:28:00Z</dcterms:created>
  <dcterms:modified xsi:type="dcterms:W3CDTF">2016-10-20T15:58:00Z</dcterms:modified>
</cp:coreProperties>
</file>