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59" w:rsidRPr="00FF6934" w:rsidRDefault="00FF6934" w:rsidP="00FF6934">
      <w:pPr>
        <w:spacing w:line="480" w:lineRule="auto"/>
        <w:jc w:val="both"/>
        <w:rPr>
          <w:rFonts w:ascii="Times New Roman" w:hAnsi="Times New Roman" w:cs="Times New Roman"/>
          <w:sz w:val="28"/>
        </w:rPr>
      </w:pPr>
      <w:r w:rsidRPr="00FF6934">
        <w:rPr>
          <w:rFonts w:ascii="Times New Roman" w:hAnsi="Times New Roman" w:cs="Times New Roman"/>
          <w:b/>
          <w:sz w:val="28"/>
        </w:rPr>
        <w:t>S1 Text</w:t>
      </w:r>
      <w:bookmarkStart w:id="0" w:name="_GoBack"/>
      <w:bookmarkEnd w:id="0"/>
    </w:p>
    <w:p w:rsidR="00FF6934" w:rsidRPr="00A44432" w:rsidRDefault="00FF6934" w:rsidP="00FF6934">
      <w:pPr>
        <w:spacing w:line="480" w:lineRule="auto"/>
        <w:jc w:val="both"/>
        <w:rPr>
          <w:rFonts w:ascii="Times New Roman" w:hAnsi="Times New Roman" w:cs="Times New Roman"/>
          <w:b/>
          <w:color w:val="000000" w:themeColor="text1"/>
          <w:sz w:val="32"/>
          <w:szCs w:val="32"/>
        </w:rPr>
      </w:pPr>
      <w:r w:rsidRPr="00A44432">
        <w:rPr>
          <w:rFonts w:ascii="Times New Roman" w:hAnsi="Times New Roman" w:cs="Times New Roman"/>
          <w:b/>
          <w:color w:val="000000" w:themeColor="text1"/>
          <w:sz w:val="32"/>
          <w:szCs w:val="32"/>
        </w:rPr>
        <w:t>Antibodies used in immunohistochemistry</w:t>
      </w:r>
    </w:p>
    <w:p w:rsidR="00FF6934" w:rsidRPr="00A44432" w:rsidRDefault="00FF6934" w:rsidP="00FF6934">
      <w:pPr>
        <w:spacing w:line="480" w:lineRule="auto"/>
        <w:ind w:firstLineChars="200" w:firstLine="480"/>
        <w:jc w:val="both"/>
        <w:rPr>
          <w:rFonts w:ascii="Times New Roman" w:hAnsi="Times New Roman" w:cs="Times New Roman"/>
          <w:szCs w:val="24"/>
        </w:rPr>
      </w:pPr>
      <w:r w:rsidRPr="00A44432">
        <w:rPr>
          <w:rFonts w:ascii="Times New Roman" w:hAnsi="Times New Roman" w:cs="Times New Roman"/>
          <w:szCs w:val="24"/>
        </w:rPr>
        <w:t>Primary antibodies used in experiments included rabbit polyclonal anti-Ki67 (1:300,</w:t>
      </w:r>
      <w:r w:rsidRPr="00A44432">
        <w:rPr>
          <w:rFonts w:ascii="Times New Roman" w:hAnsi="Times New Roman" w:cs="Times New Roman"/>
        </w:rPr>
        <w:t xml:space="preserve"> Catalog # ab15580,</w:t>
      </w:r>
      <w:r w:rsidRPr="00A44432">
        <w:rPr>
          <w:rFonts w:ascii="Times New Roman" w:hAnsi="Times New Roman" w:cs="Times New Roman"/>
          <w:szCs w:val="24"/>
        </w:rPr>
        <w:t xml:space="preserve"> Abcam, Cambridge, MA); mouse monoclonal anti-nestin (1:1000,</w:t>
      </w:r>
      <w:r w:rsidRPr="00A44432">
        <w:rPr>
          <w:rFonts w:ascii="Times New Roman" w:hAnsi="Times New Roman" w:cs="Times New Roman"/>
        </w:rPr>
        <w:t xml:space="preserve"> Catalog # ab6142,</w:t>
      </w:r>
      <w:r w:rsidRPr="00A44432">
        <w:rPr>
          <w:rFonts w:ascii="Times New Roman" w:hAnsi="Times New Roman" w:cs="Times New Roman"/>
          <w:szCs w:val="24"/>
        </w:rPr>
        <w:t xml:space="preserve"> Abcam; 1:500,</w:t>
      </w:r>
      <w:r w:rsidRPr="00A44432">
        <w:rPr>
          <w:rFonts w:ascii="Times New Roman" w:hAnsi="Times New Roman" w:cs="Times New Roman"/>
        </w:rPr>
        <w:t xml:space="preserve"> Catalog # 611659,</w:t>
      </w:r>
      <w:r w:rsidRPr="00A44432">
        <w:rPr>
          <w:rFonts w:ascii="Times New Roman" w:hAnsi="Times New Roman" w:cs="Times New Roman"/>
          <w:szCs w:val="24"/>
        </w:rPr>
        <w:t xml:space="preserve"> BD Biosciences); rabbit polyclonal anti-doublecortin (DCX, 1:500,</w:t>
      </w:r>
      <w:r w:rsidRPr="00A44432">
        <w:rPr>
          <w:rFonts w:ascii="Times New Roman" w:hAnsi="Times New Roman" w:cs="Times New Roman"/>
        </w:rPr>
        <w:t xml:space="preserve"> Catalog # ab18723, </w:t>
      </w:r>
      <w:r w:rsidRPr="00A44432">
        <w:rPr>
          <w:rFonts w:ascii="Times New Roman" w:hAnsi="Times New Roman" w:cs="Times New Roman"/>
          <w:szCs w:val="24"/>
        </w:rPr>
        <w:t>Abcam); mouse monoclonal anti-glial fibrillary acidic</w:t>
      </w:r>
      <w:r w:rsidRPr="00A44432">
        <w:rPr>
          <w:rFonts w:ascii="Times New Roman" w:hAnsi="Times New Roman" w:cs="Times New Roman"/>
          <w:color w:val="FF0000"/>
          <w:szCs w:val="24"/>
        </w:rPr>
        <w:t xml:space="preserve"> </w:t>
      </w:r>
      <w:r w:rsidRPr="00A44432">
        <w:rPr>
          <w:rFonts w:ascii="Times New Roman" w:hAnsi="Times New Roman" w:cs="Times New Roman"/>
          <w:szCs w:val="24"/>
        </w:rPr>
        <w:t xml:space="preserve">protein (GFAP, 1:200, </w:t>
      </w:r>
      <w:r w:rsidRPr="00A44432">
        <w:rPr>
          <w:rFonts w:ascii="Times New Roman" w:hAnsi="Times New Roman" w:cs="Times New Roman"/>
        </w:rPr>
        <w:t xml:space="preserve">Catalog # G3893, </w:t>
      </w:r>
      <w:r w:rsidRPr="00A44432">
        <w:rPr>
          <w:rFonts w:ascii="Times New Roman" w:hAnsi="Times New Roman" w:cs="Times New Roman"/>
          <w:szCs w:val="24"/>
        </w:rPr>
        <w:t>Sigma-Aldrich, St. Louis</w:t>
      </w:r>
      <w:r w:rsidRPr="00A44432">
        <w:rPr>
          <w:rFonts w:ascii="Times New Roman" w:hAnsi="Times New Roman" w:cs="Times New Roman"/>
          <w:color w:val="000000" w:themeColor="text1"/>
          <w:szCs w:val="24"/>
        </w:rPr>
        <w:t xml:space="preserve">, </w:t>
      </w:r>
      <w:r w:rsidRPr="00A44432">
        <w:rPr>
          <w:rFonts w:ascii="Times New Roman" w:hAnsi="Times New Roman" w:cs="Times New Roman"/>
          <w:szCs w:val="24"/>
        </w:rPr>
        <w:t>MO); rabbit polyclonal anti-ionized calcium-binding adaptor molecule-1 (Iba-1, 1:500,</w:t>
      </w:r>
      <w:r w:rsidRPr="00A44432">
        <w:rPr>
          <w:rFonts w:ascii="Times New Roman" w:hAnsi="Times New Roman" w:cs="Times New Roman"/>
        </w:rPr>
        <w:t xml:space="preserve"> Catalog # 019-19741,</w:t>
      </w:r>
      <w:r w:rsidRPr="00A44432">
        <w:rPr>
          <w:rFonts w:ascii="Times New Roman" w:hAnsi="Times New Roman" w:cs="Times New Roman"/>
          <w:szCs w:val="24"/>
        </w:rPr>
        <w:t xml:space="preserve"> Wako Pure Chemicals Industries, Osaka, Japan); mouse monoclonal anti-Iba-1 (1:50, </w:t>
      </w:r>
      <w:r w:rsidRPr="00A44432">
        <w:rPr>
          <w:rFonts w:ascii="Times New Roman" w:hAnsi="Times New Roman" w:cs="Times New Roman"/>
        </w:rPr>
        <w:t xml:space="preserve">Catalog # </w:t>
      </w:r>
      <w:r w:rsidRPr="00A44432">
        <w:rPr>
          <w:rFonts w:ascii="Times New Roman" w:hAnsi="Times New Roman" w:cs="Times New Roman"/>
          <w:szCs w:val="24"/>
        </w:rPr>
        <w:t>MABN92, EMD Millipore, Billerica</w:t>
      </w:r>
      <w:r w:rsidRPr="00A44432">
        <w:rPr>
          <w:rFonts w:ascii="Times New Roman" w:hAnsi="Times New Roman" w:cs="Times New Roman"/>
          <w:color w:val="000000" w:themeColor="text1"/>
          <w:szCs w:val="24"/>
        </w:rPr>
        <w:t xml:space="preserve">, </w:t>
      </w:r>
      <w:r w:rsidRPr="00A44432">
        <w:rPr>
          <w:rFonts w:ascii="Times New Roman" w:hAnsi="Times New Roman" w:cs="Times New Roman"/>
          <w:szCs w:val="24"/>
        </w:rPr>
        <w:t xml:space="preserve">MA); mouse monoclonal anti-ED1 (1:50, </w:t>
      </w:r>
      <w:r w:rsidRPr="00A44432">
        <w:rPr>
          <w:rFonts w:ascii="Times New Roman" w:hAnsi="Times New Roman" w:cs="Times New Roman"/>
        </w:rPr>
        <w:t>Catalog # MCA341GA,</w:t>
      </w:r>
      <w:r w:rsidRPr="00A44432">
        <w:rPr>
          <w:rFonts w:ascii="Times New Roman" w:hAnsi="Times New Roman" w:cs="Times New Roman"/>
          <w:szCs w:val="24"/>
        </w:rPr>
        <w:t xml:space="preserve"> AbD serotec, Oxford, UK; 1:300, </w:t>
      </w:r>
      <w:r w:rsidRPr="00A44432">
        <w:rPr>
          <w:rFonts w:ascii="Times New Roman" w:hAnsi="Times New Roman" w:cs="Times New Roman"/>
        </w:rPr>
        <w:t xml:space="preserve">Catalog # MAB1435, </w:t>
      </w:r>
      <w:r w:rsidRPr="00A44432">
        <w:rPr>
          <w:rFonts w:ascii="Times New Roman" w:hAnsi="Times New Roman" w:cs="Times New Roman"/>
          <w:szCs w:val="24"/>
        </w:rPr>
        <w:t xml:space="preserve">EMD Millipore); rabbit polyclonal anti-BDNF (1:100, </w:t>
      </w:r>
      <w:r w:rsidRPr="00A44432">
        <w:rPr>
          <w:rFonts w:ascii="Times New Roman" w:hAnsi="Times New Roman" w:cs="Times New Roman"/>
        </w:rPr>
        <w:t>Catalog #</w:t>
      </w:r>
      <w:r w:rsidRPr="00A44432">
        <w:rPr>
          <w:rFonts w:ascii="Times New Roman" w:hAnsi="Times New Roman" w:cs="Times New Roman"/>
          <w:szCs w:val="24"/>
        </w:rPr>
        <w:t xml:space="preserve"> AB1779SP, EMD Millipore). The secondary antibodies used</w:t>
      </w:r>
      <w:r w:rsidRPr="00A44432">
        <w:rPr>
          <w:rFonts w:ascii="Times New Roman" w:hAnsi="Times New Roman" w:cs="Times New Roman"/>
          <w:color w:val="000000" w:themeColor="text1"/>
          <w:szCs w:val="24"/>
        </w:rPr>
        <w:t xml:space="preserve"> in this experiment</w:t>
      </w:r>
      <w:r w:rsidRPr="00A44432">
        <w:rPr>
          <w:rFonts w:ascii="Times New Roman" w:hAnsi="Times New Roman" w:cs="Times New Roman"/>
          <w:szCs w:val="24"/>
        </w:rPr>
        <w:t xml:space="preserve"> were Alexa 488 donkey anti-rabbit, Alexa 488 donkey anti-mouse, Alexa 594 donkey anti-rabbit, and Alexa 594 donkey anti-mouse (Molecular Probe, </w:t>
      </w:r>
      <w:hyperlink r:id="rId6" w:tooltip="Eugene, Oregon" w:history="1">
        <w:r w:rsidRPr="00A44432">
          <w:rPr>
            <w:rFonts w:ascii="Times New Roman" w:hAnsi="Times New Roman" w:cs="Times New Roman"/>
            <w:szCs w:val="24"/>
          </w:rPr>
          <w:t>Eugene</w:t>
        </w:r>
      </w:hyperlink>
      <w:r w:rsidRPr="00A44432">
        <w:rPr>
          <w:rFonts w:ascii="Times New Roman" w:hAnsi="Times New Roman" w:cs="Times New Roman"/>
          <w:color w:val="000000" w:themeColor="text1"/>
          <w:szCs w:val="24"/>
        </w:rPr>
        <w:t>,</w:t>
      </w:r>
      <w:r w:rsidRPr="00A44432">
        <w:rPr>
          <w:rFonts w:ascii="Times New Roman" w:hAnsi="Times New Roman" w:cs="Times New Roman"/>
          <w:szCs w:val="24"/>
        </w:rPr>
        <w:t xml:space="preserve"> OR)</w:t>
      </w:r>
      <w:r w:rsidRPr="00A44432">
        <w:rPr>
          <w:rFonts w:ascii="Times New Roman" w:hAnsi="Times New Roman" w:cs="Times New Roman"/>
          <w:color w:val="000000" w:themeColor="text1"/>
          <w:szCs w:val="24"/>
        </w:rPr>
        <w:t xml:space="preserve"> diluted 1:200</w:t>
      </w:r>
      <w:r w:rsidRPr="00A44432">
        <w:rPr>
          <w:rFonts w:ascii="Times New Roman" w:hAnsi="Times New Roman" w:cs="Times New Roman"/>
          <w:szCs w:val="24"/>
        </w:rPr>
        <w:t>.</w:t>
      </w:r>
    </w:p>
    <w:p w:rsidR="00FF6934" w:rsidRPr="00A44432" w:rsidRDefault="00FF6934" w:rsidP="00FF6934">
      <w:pPr>
        <w:spacing w:line="480" w:lineRule="auto"/>
        <w:jc w:val="both"/>
        <w:rPr>
          <w:rFonts w:ascii="Times New Roman" w:hAnsi="Times New Roman" w:cs="Times New Roman"/>
          <w:b/>
          <w:color w:val="000000" w:themeColor="text1"/>
          <w:sz w:val="32"/>
          <w:szCs w:val="32"/>
        </w:rPr>
      </w:pPr>
      <w:r w:rsidRPr="00A44432">
        <w:rPr>
          <w:rFonts w:ascii="Times New Roman" w:hAnsi="Times New Roman" w:cs="Times New Roman"/>
          <w:b/>
          <w:color w:val="000000" w:themeColor="text1"/>
          <w:sz w:val="32"/>
          <w:szCs w:val="32"/>
        </w:rPr>
        <w:t>Antibodies used in immunocytochemistry</w:t>
      </w:r>
    </w:p>
    <w:p w:rsidR="00FF6934" w:rsidRPr="00A44432" w:rsidRDefault="00FF6934" w:rsidP="00FF6934">
      <w:pPr>
        <w:spacing w:line="480" w:lineRule="auto"/>
        <w:ind w:firstLineChars="200" w:firstLine="480"/>
        <w:jc w:val="both"/>
        <w:rPr>
          <w:rFonts w:ascii="Times New Roman" w:hAnsi="Times New Roman" w:cs="Times New Roman"/>
          <w:szCs w:val="24"/>
        </w:rPr>
      </w:pPr>
      <w:r w:rsidRPr="00A44432">
        <w:rPr>
          <w:rFonts w:ascii="Times New Roman" w:hAnsi="Times New Roman" w:cs="Times New Roman"/>
          <w:color w:val="000000" w:themeColor="text1"/>
          <w:szCs w:val="24"/>
        </w:rPr>
        <w:t xml:space="preserve">Primary antibodies used in this experiment included </w:t>
      </w:r>
      <w:r w:rsidRPr="00A44432">
        <w:rPr>
          <w:rFonts w:ascii="Times New Roman" w:hAnsi="Times New Roman" w:cs="Times New Roman"/>
          <w:szCs w:val="24"/>
        </w:rPr>
        <w:t>rabbit polyclonal anti-Ki67 (1:500,</w:t>
      </w:r>
      <w:r w:rsidRPr="00A44432">
        <w:rPr>
          <w:rFonts w:ascii="Times New Roman" w:hAnsi="Times New Roman" w:cs="Times New Roman"/>
        </w:rPr>
        <w:t xml:space="preserve"> Catalog # ab15580,</w:t>
      </w:r>
      <w:r w:rsidRPr="00A44432">
        <w:rPr>
          <w:rFonts w:ascii="Times New Roman" w:hAnsi="Times New Roman" w:cs="Times New Roman"/>
          <w:szCs w:val="24"/>
        </w:rPr>
        <w:t xml:space="preserve"> Abcam); mouse monoclonal anti-nestin (1:200,</w:t>
      </w:r>
      <w:r w:rsidRPr="00A44432">
        <w:rPr>
          <w:rFonts w:ascii="Times New Roman" w:hAnsi="Times New Roman" w:cs="Times New Roman"/>
        </w:rPr>
        <w:t xml:space="preserve"> Catalog # ab6142,</w:t>
      </w:r>
      <w:r w:rsidRPr="00A44432">
        <w:rPr>
          <w:rFonts w:ascii="Times New Roman" w:hAnsi="Times New Roman" w:cs="Times New Roman"/>
          <w:szCs w:val="24"/>
        </w:rPr>
        <w:t xml:space="preserve"> Abcam); rabbit polyclonal anti-DCX (1:200,</w:t>
      </w:r>
      <w:r w:rsidRPr="00A44432">
        <w:rPr>
          <w:rFonts w:ascii="Times New Roman" w:hAnsi="Times New Roman" w:cs="Times New Roman"/>
        </w:rPr>
        <w:t xml:space="preserve"> Catalog # ab18723,</w:t>
      </w:r>
      <w:r w:rsidRPr="00A44432">
        <w:rPr>
          <w:rFonts w:ascii="Times New Roman" w:hAnsi="Times New Roman" w:cs="Times New Roman"/>
          <w:szCs w:val="24"/>
        </w:rPr>
        <w:t xml:space="preserve"> Abcam); mouse monoclonal anti-</w:t>
      </w:r>
      <w:r w:rsidRPr="00A44432">
        <w:rPr>
          <w:rFonts w:ascii="Times New Roman" w:hAnsi="Times New Roman" w:cs="Times New Roman"/>
          <w:szCs w:val="24"/>
        </w:rPr>
        <w:lastRenderedPageBreak/>
        <w:t xml:space="preserve">GFAP (1:300, </w:t>
      </w:r>
      <w:r w:rsidRPr="00A44432">
        <w:rPr>
          <w:rFonts w:ascii="Times New Roman" w:hAnsi="Times New Roman" w:cs="Times New Roman"/>
        </w:rPr>
        <w:t xml:space="preserve">Catalog # G3893, </w:t>
      </w:r>
      <w:r w:rsidRPr="00A44432">
        <w:rPr>
          <w:rFonts w:ascii="Times New Roman" w:hAnsi="Times New Roman" w:cs="Times New Roman"/>
          <w:szCs w:val="24"/>
        </w:rPr>
        <w:t>Sigma-Aldrich)</w:t>
      </w:r>
      <w:r w:rsidRPr="00A44432">
        <w:rPr>
          <w:rFonts w:ascii="Times New Roman" w:hAnsi="Times New Roman" w:cs="Times New Roman"/>
          <w:color w:val="000000" w:themeColor="text1"/>
          <w:szCs w:val="24"/>
        </w:rPr>
        <w:t>; mouse monoclonal anti-Tuj-1 (1:400,</w:t>
      </w:r>
      <w:r w:rsidRPr="00A44432">
        <w:rPr>
          <w:rFonts w:ascii="Times New Roman" w:hAnsi="Times New Roman"/>
          <w:color w:val="000000" w:themeColor="text1"/>
        </w:rPr>
        <w:t xml:space="preserve"> Catalog #MAB1637,</w:t>
      </w:r>
      <w:r w:rsidRPr="00A44432">
        <w:rPr>
          <w:rFonts w:ascii="Times New Roman" w:hAnsi="Times New Roman" w:cs="Times New Roman"/>
          <w:color w:val="000000" w:themeColor="text1"/>
          <w:szCs w:val="24"/>
        </w:rPr>
        <w:t xml:space="preserve"> </w:t>
      </w:r>
      <w:r w:rsidRPr="00A44432">
        <w:rPr>
          <w:rFonts w:ascii="Times New Roman" w:hAnsi="Times New Roman" w:cs="Times New Roman"/>
          <w:szCs w:val="24"/>
        </w:rPr>
        <w:t>EMD Millipore</w:t>
      </w:r>
      <w:r w:rsidRPr="00A44432">
        <w:rPr>
          <w:rFonts w:ascii="Times New Roman" w:hAnsi="Times New Roman" w:cs="Times New Roman"/>
          <w:color w:val="000000" w:themeColor="text1"/>
          <w:szCs w:val="24"/>
        </w:rPr>
        <w:t>); chicken polyclonal anti-Tuj-1 (1:400,</w:t>
      </w:r>
      <w:r w:rsidRPr="00A44432">
        <w:rPr>
          <w:rFonts w:ascii="Times New Roman" w:hAnsi="Times New Roman"/>
          <w:color w:val="000000" w:themeColor="text1"/>
        </w:rPr>
        <w:t xml:space="preserve"> Catalog # AB9354,</w:t>
      </w:r>
      <w:r w:rsidRPr="00A44432">
        <w:rPr>
          <w:rFonts w:ascii="Times New Roman" w:hAnsi="Times New Roman" w:cs="Times New Roman"/>
          <w:color w:val="000000" w:themeColor="text1"/>
          <w:szCs w:val="24"/>
        </w:rPr>
        <w:t xml:space="preserve"> </w:t>
      </w:r>
      <w:r w:rsidRPr="00A44432">
        <w:rPr>
          <w:rFonts w:ascii="Times New Roman" w:hAnsi="Times New Roman" w:cs="Times New Roman"/>
          <w:szCs w:val="24"/>
        </w:rPr>
        <w:t>EMD Millipore</w:t>
      </w:r>
      <w:r w:rsidRPr="00A44432">
        <w:rPr>
          <w:rFonts w:ascii="Times New Roman" w:hAnsi="Times New Roman" w:cs="Times New Roman"/>
          <w:color w:val="000000" w:themeColor="text1"/>
          <w:szCs w:val="24"/>
        </w:rPr>
        <w:t xml:space="preserve">). </w:t>
      </w:r>
      <w:r w:rsidRPr="00A44432">
        <w:rPr>
          <w:rFonts w:ascii="Times New Roman" w:hAnsi="Times New Roman" w:cs="Times New Roman"/>
          <w:szCs w:val="24"/>
        </w:rPr>
        <w:t>The secondary antibodies were Alexa 488 donkey anti-rabbit, Alexa 488 donkey anti-mouse, Alexa 594 donkey anti-rabbit and Alexa 594 donkey anti-mouse (Molecular Probe)</w:t>
      </w:r>
      <w:r w:rsidRPr="00A44432">
        <w:rPr>
          <w:rFonts w:ascii="Times New Roman" w:hAnsi="Times New Roman" w:cs="Times New Roman"/>
          <w:color w:val="000000" w:themeColor="text1"/>
          <w:szCs w:val="24"/>
        </w:rPr>
        <w:t xml:space="preserve"> diluted 1:200</w:t>
      </w:r>
      <w:r w:rsidRPr="00A44432">
        <w:rPr>
          <w:rFonts w:ascii="Times New Roman" w:hAnsi="Times New Roman" w:cs="Times New Roman"/>
          <w:szCs w:val="24"/>
        </w:rPr>
        <w:t>.</w:t>
      </w:r>
    </w:p>
    <w:p w:rsidR="00FF6934" w:rsidRPr="00A44432" w:rsidRDefault="00FF6934" w:rsidP="00FF6934">
      <w:pPr>
        <w:spacing w:line="480" w:lineRule="auto"/>
        <w:jc w:val="both"/>
        <w:rPr>
          <w:rFonts w:ascii="Times New Roman" w:hAnsi="Times New Roman" w:cs="Times New Roman"/>
          <w:b/>
          <w:color w:val="000000" w:themeColor="text1"/>
          <w:sz w:val="32"/>
          <w:szCs w:val="32"/>
        </w:rPr>
      </w:pPr>
      <w:r w:rsidRPr="00A44432">
        <w:rPr>
          <w:rFonts w:ascii="Times New Roman" w:hAnsi="Times New Roman" w:cs="Times New Roman"/>
          <w:b/>
          <w:color w:val="000000" w:themeColor="text1"/>
          <w:sz w:val="32"/>
          <w:szCs w:val="32"/>
        </w:rPr>
        <w:t>Primary culture of neural stem cells</w:t>
      </w:r>
    </w:p>
    <w:p w:rsidR="00FF6934" w:rsidRPr="00A44432" w:rsidRDefault="00FF6934" w:rsidP="00FF6934">
      <w:pPr>
        <w:spacing w:line="480" w:lineRule="auto"/>
        <w:ind w:firstLineChars="200" w:firstLine="480"/>
        <w:jc w:val="both"/>
        <w:rPr>
          <w:rFonts w:ascii="Times New Roman" w:eastAsia="EURM10" w:hAnsi="Times New Roman" w:cs="Times New Roman"/>
          <w:kern w:val="0"/>
          <w:szCs w:val="24"/>
        </w:rPr>
      </w:pPr>
      <w:r w:rsidRPr="00A44432">
        <w:rPr>
          <w:rFonts w:ascii="Times New Roman" w:hAnsi="Times New Roman" w:cs="Times New Roman"/>
          <w:color w:val="000000" w:themeColor="text1"/>
          <w:szCs w:val="24"/>
        </w:rPr>
        <w:t xml:space="preserve">Pregnant Wistar rats with gestational age of 15 days were sacrificed via intraperitoneal injection of an overdose of sodium pentobarbital. Embryos were removed from the amnion, and the telencephalon was dissected out and transferred to a 100-mm Petri dish containing 1% antibiotic-antimycotic (Life Technologies, </w:t>
      </w:r>
      <w:r w:rsidRPr="00A44432">
        <w:rPr>
          <w:rFonts w:ascii="Times New Roman" w:hAnsi="Times New Roman" w:cs="Times New Roman"/>
          <w:szCs w:val="24"/>
        </w:rPr>
        <w:t>Foster City</w:t>
      </w:r>
      <w:r w:rsidRPr="00A44432">
        <w:rPr>
          <w:rFonts w:ascii="Times New Roman" w:hAnsi="Times New Roman" w:cs="Times New Roman"/>
          <w:color w:val="000000" w:themeColor="text1"/>
          <w:szCs w:val="24"/>
        </w:rPr>
        <w:t>, CA)-PBS solution. The telencephalon tissues were pooled in a 50-ml tube and centrifuged at 1000 rpm for 5 minutes. The supernatant was discarded and the tissue pellet was washed with PBS twice, resuspended in complete media containing Dulbecco’s Modified Eagle Media (DMEM)/F-12 (1:1) (Life Technologies) medium supplemented with 1% N2 supplement (Life Technologies), 20 ng/ml basic fibroblast growth factor (bFGF), and 1% antibiotic-antimycotic solution. The tissue pellet was then dissociated into single cells by triturating through a 1000-</w:t>
      </w:r>
      <w:r w:rsidRPr="00A44432">
        <w:rPr>
          <w:rFonts w:ascii="Times New Roman" w:eastAsia="EURM10" w:hAnsi="Times New Roman" w:cs="Times New Roman"/>
          <w:kern w:val="0"/>
          <w:szCs w:val="24"/>
        </w:rPr>
        <w:t>μl pipette. Cells were counted and seeded at a density of 2×10</w:t>
      </w:r>
      <w:r w:rsidRPr="00A44432">
        <w:rPr>
          <w:rFonts w:ascii="Times New Roman" w:eastAsia="EURM10" w:hAnsi="Times New Roman" w:cs="Times New Roman"/>
          <w:kern w:val="0"/>
          <w:szCs w:val="24"/>
          <w:vertAlign w:val="superscript"/>
        </w:rPr>
        <w:t>6</w:t>
      </w:r>
      <w:r w:rsidRPr="00A44432">
        <w:rPr>
          <w:rFonts w:ascii="Times New Roman" w:eastAsia="EURM10" w:hAnsi="Times New Roman" w:cs="Times New Roman"/>
          <w:kern w:val="0"/>
          <w:szCs w:val="24"/>
        </w:rPr>
        <w:t xml:space="preserve"> viable cells/cm</w:t>
      </w:r>
      <w:r w:rsidRPr="00A44432">
        <w:rPr>
          <w:rFonts w:ascii="Times New Roman" w:eastAsia="EURM10" w:hAnsi="Times New Roman" w:cs="Times New Roman"/>
          <w:kern w:val="0"/>
          <w:szCs w:val="24"/>
          <w:vertAlign w:val="superscript"/>
        </w:rPr>
        <w:t>2</w:t>
      </w:r>
      <m:oMath>
        <m:r>
          <w:rPr>
            <w:rFonts w:ascii="Cambria Math" w:eastAsia="EURM10" w:hAnsi="Times New Roman" w:cs="Times New Roman"/>
            <w:kern w:val="0"/>
            <w:szCs w:val="24"/>
          </w:rPr>
          <m:t xml:space="preserve"> </m:t>
        </m:r>
      </m:oMath>
      <w:r w:rsidRPr="00A44432">
        <w:rPr>
          <w:rFonts w:ascii="Times New Roman" w:eastAsia="EURM10" w:hAnsi="Times New Roman" w:cs="Times New Roman"/>
          <w:kern w:val="0"/>
          <w:szCs w:val="24"/>
        </w:rPr>
        <w:t>in T75 culture flasks (Corning, Corning</w:t>
      </w:r>
      <w:r w:rsidRPr="00A44432">
        <w:rPr>
          <w:rFonts w:ascii="Times New Roman" w:hAnsi="Times New Roman" w:cs="Times New Roman"/>
          <w:color w:val="000000" w:themeColor="text1"/>
          <w:szCs w:val="24"/>
        </w:rPr>
        <w:t xml:space="preserve">, </w:t>
      </w:r>
      <w:r w:rsidRPr="00A44432">
        <w:rPr>
          <w:rFonts w:ascii="Times New Roman" w:eastAsia="EURM10" w:hAnsi="Times New Roman" w:cs="Times New Roman"/>
          <w:kern w:val="0"/>
          <w:szCs w:val="24"/>
        </w:rPr>
        <w:t>NY) containing 10 ml of complete media.</w:t>
      </w:r>
      <w:r w:rsidRPr="00A44432">
        <w:rPr>
          <w:rFonts w:ascii="Times New Roman" w:hAnsi="Times New Roman" w:cs="Times New Roman"/>
          <w:szCs w:val="24"/>
        </w:rPr>
        <w:t xml:space="preserve"> </w:t>
      </w:r>
      <w:r w:rsidRPr="00A44432">
        <w:rPr>
          <w:rFonts w:ascii="Times New Roman" w:eastAsia="EURM10" w:hAnsi="Times New Roman" w:cs="Times New Roman"/>
          <w:kern w:val="0"/>
          <w:szCs w:val="24"/>
        </w:rPr>
        <w:t>Cultures were incubated at 37</w:t>
      </w:r>
      <w:r w:rsidRPr="00A44432">
        <w:rPr>
          <w:rFonts w:ascii="Times New Roman" w:eastAsia="EURM10" w:hAnsi="Times New Roman" w:cs="Times New Roman"/>
          <w:kern w:val="0"/>
          <w:szCs w:val="24"/>
        </w:rPr>
        <w:sym w:font="Symbol" w:char="F0B0"/>
      </w:r>
      <w:r w:rsidRPr="00A44432">
        <w:rPr>
          <w:rFonts w:ascii="Times New Roman" w:eastAsia="EURM10" w:hAnsi="Times New Roman" w:cs="Times New Roman"/>
          <w:kern w:val="0"/>
          <w:szCs w:val="24"/>
        </w:rPr>
        <w:t>C in a humidified atmosphere and 5% CO</w:t>
      </w:r>
      <w:r w:rsidRPr="00A44432">
        <w:rPr>
          <w:rFonts w:ascii="Times New Roman" w:eastAsia="EURM10" w:hAnsi="Times New Roman" w:cs="Times New Roman"/>
          <w:kern w:val="0"/>
          <w:szCs w:val="24"/>
          <w:vertAlign w:val="subscript"/>
        </w:rPr>
        <w:t xml:space="preserve">2 </w:t>
      </w:r>
      <w:r w:rsidRPr="00A44432">
        <w:rPr>
          <w:rFonts w:ascii="Times New Roman" w:eastAsia="EURM10" w:hAnsi="Times New Roman" w:cs="Times New Roman"/>
          <w:kern w:val="0"/>
          <w:szCs w:val="24"/>
        </w:rPr>
        <w:t xml:space="preserve">for 6 days by which time primary neurospheres had formed. Fresh </w:t>
      </w:r>
      <w:r w:rsidRPr="00A44432">
        <w:rPr>
          <w:rFonts w:ascii="Times New Roman" w:eastAsia="EURM10" w:hAnsi="Times New Roman" w:cs="Times New Roman"/>
          <w:kern w:val="0"/>
          <w:szCs w:val="24"/>
        </w:rPr>
        <w:lastRenderedPageBreak/>
        <w:t>medium</w:t>
      </w:r>
      <w:r w:rsidRPr="00A44432">
        <w:rPr>
          <w:rFonts w:ascii="Times New Roman" w:hAnsi="Times New Roman" w:cs="Times New Roman"/>
          <w:szCs w:val="24"/>
        </w:rPr>
        <w:t xml:space="preserve"> </w:t>
      </w:r>
      <w:r w:rsidRPr="00A44432">
        <w:rPr>
          <w:rFonts w:ascii="Times New Roman" w:eastAsia="EURM10" w:hAnsi="Times New Roman" w:cs="Times New Roman"/>
          <w:kern w:val="0"/>
          <w:szCs w:val="24"/>
        </w:rPr>
        <w:t xml:space="preserve">and the growth factor were supplemented every two days. </w:t>
      </w:r>
    </w:p>
    <w:p w:rsidR="00FF6934" w:rsidRPr="00A44432" w:rsidRDefault="00FF6934" w:rsidP="00FF6934">
      <w:pPr>
        <w:spacing w:line="480" w:lineRule="auto"/>
        <w:jc w:val="both"/>
        <w:rPr>
          <w:rFonts w:ascii="Times New Roman" w:hAnsi="Times New Roman" w:cs="Times New Roman"/>
          <w:b/>
          <w:color w:val="000000" w:themeColor="text1"/>
          <w:sz w:val="32"/>
          <w:szCs w:val="32"/>
        </w:rPr>
      </w:pPr>
      <w:r w:rsidRPr="00A44432">
        <w:rPr>
          <w:rFonts w:ascii="Times New Roman" w:hAnsi="Times New Roman" w:cs="Times New Roman" w:hint="eastAsia"/>
          <w:b/>
          <w:color w:val="000000" w:themeColor="text1"/>
          <w:sz w:val="32"/>
          <w:szCs w:val="32"/>
        </w:rPr>
        <w:t>ELISA kits used in this experiments</w:t>
      </w:r>
    </w:p>
    <w:p w:rsidR="00FF6934" w:rsidRPr="00A44432" w:rsidRDefault="00FF6934" w:rsidP="00FF6934">
      <w:pPr>
        <w:spacing w:line="480" w:lineRule="auto"/>
        <w:ind w:firstLineChars="200" w:firstLine="480"/>
        <w:jc w:val="both"/>
        <w:rPr>
          <w:rFonts w:ascii="Times New Roman" w:hAnsi="Times New Roman" w:cs="Times New Roman"/>
          <w:b/>
          <w:color w:val="000000" w:themeColor="text1"/>
          <w:szCs w:val="24"/>
        </w:rPr>
      </w:pPr>
      <w:r w:rsidRPr="00A44432">
        <w:rPr>
          <w:rFonts w:ascii="Times New Roman" w:hAnsi="Times New Roman" w:cs="Times New Roman"/>
          <w:color w:val="000000" w:themeColor="text1"/>
          <w:szCs w:val="24"/>
        </w:rPr>
        <w:t xml:space="preserve">Mouse Erythropoietin (EPO) Quantikine ELISA Kit (R&amp;D Systems, </w:t>
      </w:r>
      <w:r w:rsidRPr="00A44432">
        <w:rPr>
          <w:rFonts w:ascii="Times New Roman" w:hAnsi="Times New Roman" w:cs="Times New Roman"/>
          <w:szCs w:val="24"/>
        </w:rPr>
        <w:t>Minneapolis</w:t>
      </w:r>
      <w:r w:rsidRPr="00A44432">
        <w:rPr>
          <w:rFonts w:ascii="Times New Roman" w:hAnsi="Times New Roman" w:cs="Times New Roman"/>
          <w:color w:val="000000" w:themeColor="text1"/>
          <w:szCs w:val="24"/>
        </w:rPr>
        <w:t>, MN); BDNF E</w:t>
      </w:r>
      <w:r w:rsidRPr="00A44432">
        <w:rPr>
          <w:rFonts w:ascii="Times New Roman" w:hAnsi="Times New Roman" w:cs="Times New Roman"/>
          <w:color w:val="000000" w:themeColor="text1"/>
          <w:szCs w:val="24"/>
          <w:vertAlign w:val="subscript"/>
        </w:rPr>
        <w:t>max</w:t>
      </w:r>
      <w:r w:rsidRPr="00A44432">
        <w:rPr>
          <w:rFonts w:ascii="Times New Roman" w:hAnsi="Times New Roman" w:cs="Times New Roman"/>
          <w:color w:val="000000" w:themeColor="text1"/>
          <w:szCs w:val="24"/>
          <w:vertAlign w:val="superscript"/>
        </w:rPr>
        <w:t>®</w:t>
      </w:r>
      <w:r w:rsidRPr="00A44432">
        <w:rPr>
          <w:rFonts w:ascii="Times New Roman" w:hAnsi="Times New Roman" w:cs="Times New Roman"/>
          <w:color w:val="000000" w:themeColor="text1"/>
          <w:szCs w:val="24"/>
        </w:rPr>
        <w:t xml:space="preserve"> ImmunoAssay System (Promega, </w:t>
      </w:r>
      <w:r w:rsidRPr="00A44432">
        <w:rPr>
          <w:rFonts w:ascii="Times New Roman" w:hAnsi="Times New Roman" w:cs="Times New Roman"/>
          <w:szCs w:val="24"/>
        </w:rPr>
        <w:t>Madison</w:t>
      </w:r>
      <w:r w:rsidRPr="00A44432">
        <w:rPr>
          <w:rFonts w:ascii="Times New Roman" w:hAnsi="Times New Roman" w:cs="Times New Roman"/>
          <w:color w:val="000000" w:themeColor="text1"/>
          <w:szCs w:val="24"/>
        </w:rPr>
        <w:t>, WI); Rat beta-neural growth factor (NGF) ELISA (RayBiotech, Norcross, GA); Rat epidermal growth factor (EGF) ELISA (RayBiotech).</w:t>
      </w:r>
    </w:p>
    <w:p w:rsidR="00FF6934" w:rsidRPr="00A44432" w:rsidRDefault="00FF6934" w:rsidP="00FF6934">
      <w:pPr>
        <w:spacing w:line="480" w:lineRule="auto"/>
        <w:jc w:val="both"/>
        <w:rPr>
          <w:rFonts w:ascii="Times New Roman" w:hAnsi="Times New Roman" w:cs="Times New Roman"/>
          <w:b/>
          <w:color w:val="000000" w:themeColor="text1"/>
          <w:sz w:val="32"/>
          <w:szCs w:val="32"/>
        </w:rPr>
      </w:pPr>
      <w:r w:rsidRPr="00A44432">
        <w:rPr>
          <w:rFonts w:ascii="Times New Roman" w:hAnsi="Times New Roman" w:cs="Times New Roman"/>
          <w:b/>
          <w:color w:val="000000" w:themeColor="text1"/>
          <w:sz w:val="32"/>
          <w:szCs w:val="32"/>
        </w:rPr>
        <w:t>Live cell imaging by time-lapse microscopy</w:t>
      </w:r>
    </w:p>
    <w:p w:rsidR="00AE434F" w:rsidRPr="00F15059" w:rsidRDefault="00FF6934" w:rsidP="00FF6934">
      <w:pPr>
        <w:spacing w:line="480" w:lineRule="auto"/>
        <w:ind w:firstLine="480"/>
      </w:pPr>
      <w:r w:rsidRPr="00A44432">
        <w:rPr>
          <w:rFonts w:ascii="Times New Roman" w:hAnsi="Times New Roman" w:cs="Times New Roman"/>
          <w:color w:val="000000" w:themeColor="text1"/>
          <w:szCs w:val="24"/>
        </w:rPr>
        <w:t>Cells were seeded on Matrigel-coated coverslips at the density of 400 spheres per well in a 12-well plate and allowed to adhere for 4 hours before CSF treatment. Live cell images of neurospheres with different treatment were captured every 15 minutes for 24 hours by the Real-Time Cultured Cell Monitoring System CCM-1.4Z (ASTEC, Tokyo, Japan).</w:t>
      </w:r>
    </w:p>
    <w:sectPr w:rsidR="00AE434F" w:rsidRPr="00F15059" w:rsidSect="00DB3F30">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CF" w:rsidRDefault="00E95BCF" w:rsidP="009734DB">
      <w:r>
        <w:separator/>
      </w:r>
    </w:p>
  </w:endnote>
  <w:endnote w:type="continuationSeparator" w:id="0">
    <w:p w:rsidR="00E95BCF" w:rsidRDefault="00E95BCF" w:rsidP="0097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EURM10">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CF" w:rsidRDefault="00E95BCF" w:rsidP="009734DB">
      <w:r>
        <w:separator/>
      </w:r>
    </w:p>
  </w:footnote>
  <w:footnote w:type="continuationSeparator" w:id="0">
    <w:p w:rsidR="00E95BCF" w:rsidRDefault="00E95BCF" w:rsidP="0097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59"/>
    <w:rsid w:val="001D03DB"/>
    <w:rsid w:val="009734DB"/>
    <w:rsid w:val="00AE434F"/>
    <w:rsid w:val="00E95BCF"/>
    <w:rsid w:val="00F15059"/>
    <w:rsid w:val="00FF69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B4B09-9B90-4BB4-AAEA-144F5C5E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0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4DB"/>
    <w:pPr>
      <w:tabs>
        <w:tab w:val="center" w:pos="4153"/>
        <w:tab w:val="right" w:pos="8306"/>
      </w:tabs>
      <w:snapToGrid w:val="0"/>
    </w:pPr>
    <w:rPr>
      <w:sz w:val="20"/>
      <w:szCs w:val="20"/>
    </w:rPr>
  </w:style>
  <w:style w:type="character" w:customStyle="1" w:styleId="a4">
    <w:name w:val="頁首 字元"/>
    <w:basedOn w:val="a0"/>
    <w:link w:val="a3"/>
    <w:uiPriority w:val="99"/>
    <w:rsid w:val="009734DB"/>
    <w:rPr>
      <w:sz w:val="20"/>
      <w:szCs w:val="20"/>
    </w:rPr>
  </w:style>
  <w:style w:type="paragraph" w:styleId="a5">
    <w:name w:val="footer"/>
    <w:basedOn w:val="a"/>
    <w:link w:val="a6"/>
    <w:uiPriority w:val="99"/>
    <w:unhideWhenUsed/>
    <w:rsid w:val="009734DB"/>
    <w:pPr>
      <w:tabs>
        <w:tab w:val="center" w:pos="4153"/>
        <w:tab w:val="right" w:pos="8306"/>
      </w:tabs>
      <w:snapToGrid w:val="0"/>
    </w:pPr>
    <w:rPr>
      <w:sz w:val="20"/>
      <w:szCs w:val="20"/>
    </w:rPr>
  </w:style>
  <w:style w:type="character" w:customStyle="1" w:styleId="a6">
    <w:name w:val="頁尾 字元"/>
    <w:basedOn w:val="a0"/>
    <w:link w:val="a5"/>
    <w:uiPriority w:val="99"/>
    <w:rsid w:val="009734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ugene,_Oreg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李文弟</dc:creator>
  <cp:keywords/>
  <dc:description/>
  <cp:lastModifiedBy>Li-Kai Tsai</cp:lastModifiedBy>
  <cp:revision>2</cp:revision>
  <dcterms:created xsi:type="dcterms:W3CDTF">2016-10-26T00:20:00Z</dcterms:created>
  <dcterms:modified xsi:type="dcterms:W3CDTF">2016-10-26T00:20:00Z</dcterms:modified>
</cp:coreProperties>
</file>