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89" w:rsidRPr="00115889" w:rsidRDefault="00115889" w:rsidP="00115889">
      <w:pPr>
        <w:spacing w:after="20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115889">
        <w:rPr>
          <w:rFonts w:ascii="Cambria" w:eastAsia="Cambria" w:hAnsi="Cambria" w:cs="TimesNewRoman"/>
          <w:b/>
          <w:sz w:val="24"/>
          <w:szCs w:val="24"/>
        </w:rPr>
        <w:t>S2</w:t>
      </w:r>
      <w:proofErr w:type="spellEnd"/>
      <w:r w:rsidRPr="00115889">
        <w:rPr>
          <w:rFonts w:ascii="Cambria" w:eastAsia="Cambria" w:hAnsi="Cambria" w:cs="TimesNewRoman"/>
          <w:b/>
          <w:sz w:val="24"/>
          <w:szCs w:val="24"/>
        </w:rPr>
        <w:t xml:space="preserve"> Table.  Within-tree correlations between fire injury measures for </w:t>
      </w:r>
      <w:proofErr w:type="spellStart"/>
      <w:r w:rsidRPr="00115889">
        <w:rPr>
          <w:rFonts w:ascii="Cambria" w:eastAsia="Cambria" w:hAnsi="Cambria" w:cs="TimesNewRoman"/>
          <w:b/>
          <w:sz w:val="24"/>
          <w:szCs w:val="24"/>
        </w:rPr>
        <w:t>lodgepole</w:t>
      </w:r>
      <w:proofErr w:type="spellEnd"/>
      <w:r w:rsidRPr="00115889">
        <w:rPr>
          <w:rFonts w:ascii="Cambria" w:eastAsia="Cambria" w:hAnsi="Cambria" w:cs="TimesNewRoman"/>
          <w:b/>
          <w:sz w:val="24"/>
          <w:szCs w:val="24"/>
        </w:rPr>
        <w:t xml:space="preserve"> pine and ponderosa pine.</w:t>
      </w:r>
    </w:p>
    <w:tbl>
      <w:tblPr>
        <w:tblpPr w:leftFromText="180" w:rightFromText="180" w:vertAnchor="text" w:horzAnchor="margin" w:tblpY="451"/>
        <w:tblW w:w="5000" w:type="pct"/>
        <w:tblLook w:val="0000" w:firstRow="0" w:lastRow="0" w:firstColumn="0" w:lastColumn="0" w:noHBand="0" w:noVBand="0"/>
      </w:tblPr>
      <w:tblGrid>
        <w:gridCol w:w="1131"/>
        <w:gridCol w:w="801"/>
        <w:gridCol w:w="233"/>
        <w:gridCol w:w="653"/>
        <w:gridCol w:w="552"/>
        <w:gridCol w:w="752"/>
        <w:gridCol w:w="233"/>
        <w:gridCol w:w="653"/>
        <w:gridCol w:w="552"/>
        <w:gridCol w:w="752"/>
        <w:gridCol w:w="233"/>
        <w:gridCol w:w="653"/>
        <w:gridCol w:w="635"/>
        <w:gridCol w:w="752"/>
        <w:gridCol w:w="233"/>
        <w:gridCol w:w="653"/>
        <w:gridCol w:w="552"/>
        <w:gridCol w:w="752"/>
        <w:gridCol w:w="233"/>
        <w:gridCol w:w="653"/>
        <w:gridCol w:w="555"/>
        <w:gridCol w:w="744"/>
      </w:tblGrid>
      <w:tr w:rsidR="00115889" w:rsidRPr="00115889" w:rsidTr="00416ED3">
        <w:trPr>
          <w:trHeight w:val="792"/>
        </w:trPr>
        <w:tc>
          <w:tcPr>
            <w:tcW w:w="436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Tree Species</w:t>
            </w:r>
          </w:p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Fire Injury Metric</w:t>
            </w:r>
          </w:p>
        </w:tc>
        <w:tc>
          <w:tcPr>
            <w:tcW w:w="90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TCD</w:t>
            </w:r>
            <w:proofErr w:type="spellEnd"/>
          </w:p>
        </w:tc>
        <w:tc>
          <w:tcPr>
            <w:tcW w:w="90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CVS</w:t>
            </w:r>
          </w:p>
        </w:tc>
        <w:tc>
          <w:tcPr>
            <w:tcW w:w="90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787" w:type="pct"/>
            <w:gridSpan w:val="3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CVC</w:t>
            </w:r>
          </w:p>
        </w:tc>
        <w:tc>
          <w:tcPr>
            <w:tcW w:w="90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755" w:type="pct"/>
            <w:gridSpan w:val="3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CKR</w:t>
            </w:r>
            <w:proofErr w:type="spellEnd"/>
          </w:p>
        </w:tc>
        <w:tc>
          <w:tcPr>
            <w:tcW w:w="90" w:type="pc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b/>
                <w:color w:val="000000"/>
                <w:sz w:val="17"/>
                <w:szCs w:val="17"/>
              </w:rPr>
              <w:t>BSP</w:t>
            </w:r>
            <w:proofErr w:type="spellEnd"/>
          </w:p>
        </w:tc>
      </w:tr>
      <w:tr w:rsidR="00115889" w:rsidRPr="00115889" w:rsidTr="00416ED3">
        <w:trPr>
          <w:trHeight w:val="326"/>
        </w:trPr>
        <w:tc>
          <w:tcPr>
            <w:tcW w:w="436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  <w:t>s</w:t>
            </w:r>
            <w:proofErr w:type="spellEnd"/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  <w:t>s</w:t>
            </w:r>
            <w:proofErr w:type="spellEnd"/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  <w:t>s</w:t>
            </w:r>
            <w:proofErr w:type="spellEnd"/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  <w:t>s</w:t>
            </w:r>
            <w:proofErr w:type="spellEnd"/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P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R</w:t>
            </w: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  <w:vertAlign w:val="subscript"/>
              </w:rPr>
              <w:t>s</w:t>
            </w:r>
            <w:proofErr w:type="spellEnd"/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i/>
                <w:iCs/>
                <w:color w:val="000000"/>
                <w:sz w:val="17"/>
                <w:szCs w:val="17"/>
              </w:rPr>
              <w:t>P</w:t>
            </w: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 w:val="restar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Lodgepole</w:t>
            </w:r>
            <w:proofErr w:type="spellEnd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 xml:space="preserve"> Pine</w:t>
            </w: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BCI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0.581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0.469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0.348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0.873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0.602</w:t>
            </w: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BSP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0.576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0.274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0.58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0.764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0.504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0.87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CKR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0.656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0.581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0.281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CVC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0.386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CVS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0.906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 w:val="restart"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Ponderosa Pine</w:t>
            </w: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BCI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0.453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0.167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0.164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0.286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0.514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0.53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0.445</w:t>
            </w: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BSP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0.727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0.164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0.952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0.869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0.482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proofErr w:type="spellStart"/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CKR</w:t>
            </w:r>
            <w:proofErr w:type="spellEnd"/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0.489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0.118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288"/>
        </w:trPr>
        <w:tc>
          <w:tcPr>
            <w:tcW w:w="436" w:type="pct"/>
            <w:vMerge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CVC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0.541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0.67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-0.495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  <w:tr w:rsidR="00115889" w:rsidRPr="00115889" w:rsidTr="00416ED3">
        <w:trPr>
          <w:trHeight w:val="307"/>
        </w:trPr>
        <w:tc>
          <w:tcPr>
            <w:tcW w:w="436" w:type="pct"/>
            <w:vMerge/>
            <w:vAlign w:val="center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CVS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0.464</w:t>
            </w: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  <w:r w:rsidRPr="00115889"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  <w:t>≤0.001</w:t>
            </w: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45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3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52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14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</w:tcPr>
          <w:p w:rsidR="00115889" w:rsidRPr="00115889" w:rsidRDefault="00115889" w:rsidP="0011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Cambria"/>
                <w:color w:val="000000"/>
                <w:sz w:val="17"/>
                <w:szCs w:val="17"/>
              </w:rPr>
            </w:pPr>
          </w:p>
        </w:tc>
      </w:tr>
    </w:tbl>
    <w:p w:rsidR="007C7327" w:rsidRDefault="007C7327"/>
    <w:p w:rsidR="00115889" w:rsidRDefault="00115889" w:rsidP="00115889">
      <w:pPr>
        <w:tabs>
          <w:tab w:val="left" w:pos="12960"/>
        </w:tabs>
        <w:spacing w:after="200" w:line="480" w:lineRule="auto"/>
        <w:contextualSpacing/>
      </w:pPr>
      <w:r w:rsidRPr="00115889">
        <w:rPr>
          <w:rFonts w:ascii="Cambria" w:eastAsia="Cambria" w:hAnsi="Cambria" w:cs="TimesNewRoman"/>
          <w:sz w:val="24"/>
          <w:szCs w:val="24"/>
        </w:rPr>
        <w:t xml:space="preserve">Note: </w:t>
      </w:r>
      <w:r w:rsidRPr="00115889">
        <w:rPr>
          <w:rFonts w:ascii="Cambria" w:eastAsia="Cambria" w:hAnsi="Cambria" w:cs="TimesNewRoman"/>
          <w:i/>
          <w:sz w:val="24"/>
          <w:szCs w:val="24"/>
        </w:rPr>
        <w:t>R</w:t>
      </w:r>
      <w:r w:rsidRPr="00115889">
        <w:rPr>
          <w:rFonts w:ascii="Cambria" w:eastAsia="Cambria" w:hAnsi="Cambria" w:cs="TimesNewRoman"/>
          <w:sz w:val="24"/>
          <w:szCs w:val="24"/>
        </w:rPr>
        <w:t xml:space="preserve"> is the correlation coefficient, </w:t>
      </w:r>
      <w:proofErr w:type="spellStart"/>
      <w:r w:rsidRPr="00115889">
        <w:rPr>
          <w:rFonts w:ascii="Cambria" w:eastAsia="Cambria" w:hAnsi="Cambria" w:cs="TimesNewRoman"/>
          <w:i/>
          <w:sz w:val="24"/>
          <w:szCs w:val="24"/>
        </w:rPr>
        <w:t>R</w:t>
      </w:r>
      <w:r w:rsidRPr="00115889">
        <w:rPr>
          <w:rFonts w:ascii="Cambria" w:eastAsia="Cambria" w:hAnsi="Cambria" w:cs="TimesNewRoman"/>
          <w:i/>
          <w:sz w:val="24"/>
          <w:szCs w:val="24"/>
          <w:vertAlign w:val="subscript"/>
        </w:rPr>
        <w:t>s</w:t>
      </w:r>
      <w:proofErr w:type="spellEnd"/>
      <w:r w:rsidRPr="00115889">
        <w:rPr>
          <w:rFonts w:ascii="Cambria" w:eastAsia="Cambria" w:hAnsi="Cambria" w:cs="TimesNewRoman"/>
          <w:sz w:val="24"/>
          <w:szCs w:val="24"/>
          <w:vertAlign w:val="subscript"/>
        </w:rPr>
        <w:t xml:space="preserve"> </w:t>
      </w:r>
      <w:r w:rsidRPr="00115889">
        <w:rPr>
          <w:rFonts w:ascii="Cambria" w:eastAsia="Cambria" w:hAnsi="Cambria" w:cs="TimesNewRoman"/>
          <w:sz w:val="24"/>
          <w:szCs w:val="24"/>
        </w:rPr>
        <w:t xml:space="preserve">is the Spearman rank correlation coefficient, and the </w:t>
      </w:r>
      <w:r w:rsidRPr="00115889">
        <w:rPr>
          <w:rFonts w:ascii="Cambria" w:eastAsia="Cambria" w:hAnsi="Cambria" w:cs="TimesNewRoman"/>
          <w:i/>
          <w:sz w:val="24"/>
          <w:szCs w:val="24"/>
        </w:rPr>
        <w:t>P</w:t>
      </w:r>
      <w:r w:rsidRPr="00115889">
        <w:rPr>
          <w:rFonts w:ascii="Cambria" w:eastAsia="Cambria" w:hAnsi="Cambria" w:cs="TimesNewRoman"/>
          <w:sz w:val="24"/>
          <w:szCs w:val="24"/>
        </w:rPr>
        <w:t xml:space="preserve">-value for </w:t>
      </w:r>
      <w:proofErr w:type="spellStart"/>
      <w:r w:rsidRPr="00115889">
        <w:rPr>
          <w:rFonts w:ascii="Cambria" w:eastAsia="Cambria" w:hAnsi="Cambria" w:cs="TimesNewRoman"/>
          <w:i/>
          <w:sz w:val="24"/>
          <w:szCs w:val="24"/>
        </w:rPr>
        <w:t>R</w:t>
      </w:r>
      <w:r w:rsidRPr="00115889">
        <w:rPr>
          <w:rFonts w:ascii="Cambria" w:eastAsia="Cambria" w:hAnsi="Cambria" w:cs="TimesNewRoman"/>
          <w:i/>
          <w:sz w:val="24"/>
          <w:szCs w:val="24"/>
          <w:vertAlign w:val="subscript"/>
        </w:rPr>
        <w:t>s</w:t>
      </w:r>
      <w:proofErr w:type="spellEnd"/>
      <w:r w:rsidRPr="00115889">
        <w:rPr>
          <w:rFonts w:ascii="Cambria" w:eastAsia="Cambria" w:hAnsi="Cambria" w:cs="TimesNewRoman"/>
          <w:sz w:val="24"/>
          <w:szCs w:val="24"/>
          <w:vertAlign w:val="subscript"/>
        </w:rPr>
        <w:t xml:space="preserve"> </w:t>
      </w:r>
      <w:r w:rsidRPr="00115889">
        <w:rPr>
          <w:rFonts w:ascii="Cambria" w:eastAsia="Cambria" w:hAnsi="Cambria" w:cs="TimesNewRoman"/>
          <w:sz w:val="24"/>
          <w:szCs w:val="24"/>
        </w:rPr>
        <w:t>is displayed.  See Table 1 for description of fire injury measures.</w:t>
      </w:r>
      <w:r w:rsidRPr="00115889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15889" w:rsidSect="001158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9"/>
    <w:rsid w:val="00115889"/>
    <w:rsid w:val="007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C18C7-94EC-48DE-BC09-93530957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Barbara -FS</dc:creator>
  <cp:keywords/>
  <dc:description/>
  <cp:lastModifiedBy>Bentz, Barbara -FS</cp:lastModifiedBy>
  <cp:revision>1</cp:revision>
  <dcterms:created xsi:type="dcterms:W3CDTF">2016-10-11T19:09:00Z</dcterms:created>
  <dcterms:modified xsi:type="dcterms:W3CDTF">2016-10-11T19:12:00Z</dcterms:modified>
</cp:coreProperties>
</file>