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EB" w:rsidRPr="00142597" w:rsidRDefault="005709EB" w:rsidP="005709EB">
      <w:pPr>
        <w:rPr>
          <w:rFonts w:ascii="Times New Roman" w:hAnsi="Times New Roman" w:cs="Times New Roman"/>
          <w:b/>
          <w:sz w:val="24"/>
          <w:szCs w:val="24"/>
        </w:rPr>
      </w:pPr>
      <w:r w:rsidRPr="00A94B7F">
        <w:rPr>
          <w:rFonts w:ascii="Times New Roman" w:hAnsi="Times New Roman" w:cs="Times New Roman"/>
          <w:b/>
          <w:sz w:val="24"/>
          <w:szCs w:val="24"/>
        </w:rPr>
        <w:t>S</w:t>
      </w:r>
      <w:r w:rsidR="00FB281C">
        <w:rPr>
          <w:rFonts w:ascii="Times New Roman" w:hAnsi="Times New Roman" w:cs="Times New Roman"/>
          <w:b/>
          <w:sz w:val="24"/>
          <w:szCs w:val="24"/>
        </w:rPr>
        <w:t>2 Table</w:t>
      </w:r>
      <w:r w:rsidRPr="00142597">
        <w:rPr>
          <w:rFonts w:ascii="Times New Roman" w:hAnsi="Times New Roman" w:cs="Times New Roman"/>
          <w:b/>
          <w:sz w:val="24"/>
          <w:szCs w:val="24"/>
        </w:rPr>
        <w:t>. Individual study assessment for risk of bias according to RoBANS (Risk-of-bias assessment tool for nonrandomized studies)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44"/>
        <w:gridCol w:w="1720"/>
        <w:gridCol w:w="1726"/>
        <w:gridCol w:w="1730"/>
        <w:gridCol w:w="1719"/>
        <w:gridCol w:w="1715"/>
        <w:gridCol w:w="1706"/>
      </w:tblGrid>
      <w:tr w:rsidR="005709EB" w:rsidRPr="00BE19BD" w:rsidTr="00D06C27">
        <w:tc>
          <w:tcPr>
            <w:tcW w:w="2718" w:type="dxa"/>
            <w:vMerge w:val="restart"/>
            <w:vAlign w:val="center"/>
          </w:tcPr>
          <w:p w:rsidR="005709EB" w:rsidRPr="00CB2500" w:rsidRDefault="005709EB" w:rsidP="00D06C27">
            <w:pPr>
              <w:rPr>
                <w:rFonts w:ascii="Times New Roman" w:hAnsi="Times New Roman" w:cs="Times New Roman"/>
                <w:b/>
              </w:rPr>
            </w:pPr>
            <w:r w:rsidRPr="00CB2500">
              <w:rPr>
                <w:rFonts w:ascii="Times New Roman" w:hAnsi="Times New Roman" w:cs="Times New Roman"/>
                <w:b/>
              </w:rPr>
              <w:t>Study</w:t>
            </w:r>
          </w:p>
        </w:tc>
        <w:tc>
          <w:tcPr>
            <w:tcW w:w="10458" w:type="dxa"/>
            <w:gridSpan w:val="6"/>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Domains*</w:t>
            </w:r>
          </w:p>
        </w:tc>
      </w:tr>
      <w:tr w:rsidR="005709EB" w:rsidRPr="00BE19BD" w:rsidTr="00D06C27">
        <w:tc>
          <w:tcPr>
            <w:tcW w:w="2718" w:type="dxa"/>
            <w:vMerge/>
          </w:tcPr>
          <w:p w:rsidR="005709EB" w:rsidRPr="00CB2500" w:rsidRDefault="005709EB" w:rsidP="00D06C27">
            <w:pPr>
              <w:rPr>
                <w:rFonts w:ascii="Times New Roman" w:hAnsi="Times New Roman" w:cs="Times New Roman"/>
                <w:b/>
              </w:rPr>
            </w:pP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Selection of participants</w:t>
            </w: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Confounding variables</w:t>
            </w: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Measurement of exposure</w:t>
            </w: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Blinding of outcome assessments</w:t>
            </w: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Incomplete outcome data</w:t>
            </w:r>
          </w:p>
        </w:tc>
        <w:tc>
          <w:tcPr>
            <w:tcW w:w="1743" w:type="dxa"/>
          </w:tcPr>
          <w:p w:rsidR="005709EB" w:rsidRPr="00CB2500" w:rsidRDefault="005709EB" w:rsidP="00D06C27">
            <w:pPr>
              <w:jc w:val="center"/>
              <w:rPr>
                <w:rFonts w:ascii="Times New Roman" w:hAnsi="Times New Roman" w:cs="Times New Roman"/>
                <w:b/>
              </w:rPr>
            </w:pPr>
            <w:r w:rsidRPr="00CB2500">
              <w:rPr>
                <w:rFonts w:ascii="Times New Roman" w:hAnsi="Times New Roman" w:cs="Times New Roman"/>
                <w:b/>
              </w:rPr>
              <w:t>Selective outcome reporting</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Finney SJ (2003)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"author" : [ { "dropping-particle" : "", "family" : "Finney", "given" : "S. J.", "non-dropping-particle" : "", "parse-names" : false, "suffix" : "" }, { "dropping-particle" : "", "family" : "Schaw", "given" : "G", "non-dropping-particle" : "", "parse-names" : false, "suffix" : "" } ], "container-title" : "Contemporary Educational Psychology", "id" : "ITEM-1", "issued" : { "date-parts" : [ [ "2003" ] ] }, "page" : "161-186", "title" : "Self-efficacy beliefs in college statistics courses.", "type" : "article-journal", "volume" : "28" }, "uris" : [ "http://www.mendeley.com/documents/?uuid=dd01c6dd-8640-4bf1-a9da-8777edf8b549" ] } ], "mendeley" : { "formattedCitation" : "[32]", "plainTextFormattedCitation" : "[32]", "previouslyFormattedCitation" : "[32]"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[3</w:t>
            </w:r>
            <w:r>
              <w:rPr>
                <w:rFonts w:ascii="Times New Roman" w:hAnsi="Times New Roman" w:cs="Times New Roman"/>
                <w:noProof/>
              </w:rPr>
              <w:t>3</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unclear</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Nasser F (2004)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"author" : [ { "dropping-particle" : "", "family" : "Nasser", "given" : "Fadia", "non-dropping-particle" : "", "parse-names" : false, "suffix" : "" } ], "container-title" : "Journal of Statistics Education", "id" : "ITEM-1", "issue" : "1", "issued" : { "date-parts" : [ [ "2004" ] ] }, "title" : "Structural Model of the Effects of Cognitive and Affective Factors on the Achievement of Arabic-Speaking Pre-service Teachers in Introductory Statistics", "type" : "article-journal", "volume" : "12" }, "uris" : [ "http://www.mendeley.com/documents/?uuid=b724d7a1-a576-4440-987e-fb9e2917aa65" ] } ], "mendeley" : { "formattedCitation" : "[31]", "plainTextFormattedCitation" : "[31]", "previouslyFormattedCitation" : "[31]"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[3</w:t>
            </w:r>
            <w:r>
              <w:rPr>
                <w:rFonts w:ascii="Times New Roman" w:hAnsi="Times New Roman" w:cs="Times New Roman"/>
                <w:noProof/>
              </w:rPr>
              <w:t>2</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Cashin SE (2005)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"DOI" : "10.1177/0013164404272488", "ISSN" : "0013-1644", "abstract" : "The purpose of the present study is to investigate evidence of the validity of Survey of Attitudes Toward Statistics Scale (SATS) scores and their relationship with scores from two other measures of attitudes toward statistics, the Attitude Toward Statistics Scale (ATS) and the Statistics Attitude Survey. The pre- and postcourse responses of 342 graduate and undergraduate students enrolled in inferential statistics courses at a large midwestern university were analyzed. Internal consistency reliability estimates were greater than .90 for total scores and greater than .70 for subscale scores for all instruments. Regression analyses confirmed the importance of SATS subscale scores over and above demographic variables in a theoretical model predicting statistics course achievement. Factor analyses suggested that both the ATS and the SATS have two domains, which is contrary to the four-factor solution proposed by the developers of the SATS.", "author" : [ { "dropping-particle" : "", "family" : "Cashin", "given" : "S. E.", "non-dropping-particle" : "", "parse-names" : false, "suffix" : "" } ], "container-title" : "Educational and Psychological Measurement", "id" : "ITEM-1", "issue" : "3", "issued" : { "date-parts" : [ [ "2005", "6", "1" ] ] }, "page" : "509-524", "title" : "The Survey of Attitudes Toward Statistics Scale: A Construct Validity Study", "type" : "article-journal", "volume" : "65" }, "uris" : [ "http://www.mendeley.com/documents/?uuid=03656bc4-dab4-4725-80b9-805840c4702b" ] } ], "mendeley" : { "formattedCitation" : "[30]", "plainTextFormattedCitation" : "[30]", "previouslyFormattedCitation" : "[30]"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[3</w:t>
            </w:r>
            <w:r>
              <w:rPr>
                <w:rFonts w:ascii="Times New Roman" w:hAnsi="Times New Roman" w:cs="Times New Roman"/>
                <w:noProof/>
              </w:rPr>
              <w:t>1</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Dempster M (2009)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"author" : [ { "dropping-particle" : "", "family" : "Dempster", "given" : "Martin", "non-dropping-particle" : "", "parse-names" : false, "suffix" : "" }, { "dropping-particle" : "", "family" : "Noleen", "given" : "K Mc", "non-dropping-particle" : "", "parse-names" : false, "suffix" : "" } ], "container-title" : "Journal of Statistics Education", "id" : "ITEM-1", "issue" : "2", "issued" : { "date-parts" : [ [ "2009" ] ] }, "title" : "The Role of Previous Experience and Attitudes Toward Statistics in Statistics Assessment Outcomes among Undergraduate Psychology Students", "type" : "article-journal", "volume" : "17" }, "uris" : [ "http://www.mendeley.com/documents/?uuid=64aa89c2-877c-4d89-a660-15b3fbf46f45" ] } ], "mendeley" : { "formattedCitation" : "[28]", "plainTextFormattedCitation" : "[28]", "previouslyFormattedCitation" : "[28]"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[2</w:t>
            </w:r>
            <w:r>
              <w:rPr>
                <w:rFonts w:ascii="Times New Roman" w:hAnsi="Times New Roman" w:cs="Times New Roman"/>
                <w:noProof/>
              </w:rPr>
              <w:t>9</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Chiesi F (2010)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"author" : [ { "dropping-particle" : "", "family" : "Chiesi", "given" : "F", "non-dropping-particle" : "", "parse-names" : false, "suffix" : "" }, { "dropping-particle" : "", "family" : "Primi", "given" : "C", "non-dropping-particle" : "", "parse-names" : false, "suffix" : "" } ], "container-title" : "Stat Educ Res Jour", "id" : "ITEM-1", "issued" : { "date-parts" : [ [ "2010" ] ] }, "page" : "6-26", "title" : "Cognitive and non-cognitive factors related to students\u2019 statistic achievement", "type" : "article-journal", "volume" : "9" }, "uris" : [ "http://www.mendeley.com/documents/?uuid=1f200cb0-2312-4beb-b2db-17439fdf8d7e" ] } ], "mendeley" : { "formattedCitation" : "[5]", "plainTextFormattedCitation" : "[5]", "previouslyFormattedCitation" : "[5]"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[5]</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Carlson KA (2011)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"author" : [ { "dropping-particle" : "", "family" : "Carlson", "given" : "K. A.", "non-dropping-particle" : "", "parse-names" : false, "suffix" : "" }, { "dropping-particle" : "", "family" : "Winquist", "given" : "J. R.", "non-dropping-particle" : "", "parse-names" : false, "suffix" : "" } ], "container-title" : "Journal of Statistics Education", "id" : "ITEM-1", "issue" : "1", "issued" : { "date-parts" : [ [ "2011" ] ] }, "title" : "Evaluating an active learning approach to teaching introductory statistics: A classroom workbook approach", "type" : "article-journal", "volume" : "19" }, "uris" : [ "http://www.mendeley.com/documents/?uuid=78eb07a1-6c88-46e7-93d9-5ccc5d00d7e5" ] } ], "mendeley" : { "formattedCitation" : "[20]", "plainTextFormattedCitation" : "[20]", "previouslyFormattedCitation" : "[20]"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[2</w:t>
            </w:r>
            <w:r>
              <w:rPr>
                <w:rFonts w:ascii="Times New Roman" w:hAnsi="Times New Roman" w:cs="Times New Roman"/>
                <w:noProof/>
              </w:rPr>
              <w:t>1</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Hood M (2012)</w:t>
            </w:r>
            <w:r w:rsidRPr="00BE19BD">
              <w:rPr>
                <w:rFonts w:ascii="Times New Roman" w:hAnsi="Times New Roman" w:cs="Times New Roman"/>
                <w:vertAlign w:val="superscript"/>
              </w:rPr>
              <w:t xml:space="preserve"> </w:t>
            </w:r>
            <w:r w:rsidR="00C2544C" w:rsidRPr="00BE19BD">
              <w:rPr>
                <w:rFonts w:ascii="Times New Roman" w:hAnsi="Times New Roman" w:cs="Times New Roman"/>
                <w:vertAlign w:val="superscript"/>
              </w:rPr>
              <w:fldChar w:fldCharType="begin" w:fldLock="1"/>
            </w:r>
            <w:r w:rsidRPr="00BE19BD">
              <w:rPr>
                <w:rFonts w:ascii="Times New Roman" w:hAnsi="Times New Roman" w:cs="Times New Roman"/>
                <w:vertAlign w:val="superscript"/>
              </w:rPr>
              <w:instrText>ADDIN CSL_CITATION { "citationItems" : [ { "id" : "ITEM-1", "itemData" : { "author" : [ { "dropping-particle" : "", "family" : "Hood", "given" : "M", "non-dropping-particle" : "", "parse-names" : false, "suffix" : "" }, { "dropping-particle" : "", "family" : "Creed", "given" : "P", "non-dropping-particle" : "", "parse-names" : false, "suffix" : "" }, { "dropping-particle" : "", "family" : "D", "given" : "Neumann", "non-dropping-particle" : "", "parse-names" : false, "suffix" : "" } ], "container-title" : "Statistics Education Research Journal", "id" : "ITEM-1", "issue" : "2", "issued" : { "date-parts" : [ [ "2012" ] ] }, "page" : "72-85", "title" : "Using the expectancy value model of motivation to understand the relationship between student attitudes and achievement in statistics", "type" : "article-journal", "volume" : "11" }, "uris" : [ "http://www.mendeley.com/documents/?uuid=03cbf016-c427-474f-a361-18b88114bf48" ] } ], "mendeley" : { "formattedCitation" : "[34]", "plainTextFormattedCitation" : "[34]", "previouslyFormattedCitation" : "[34]" }, "properties" : { "noteIndex" : 0 }, "schema" : "https://github.com/citation-style-language/schema/raw/master/csl-citation.json" }</w:instrText>
            </w:r>
            <w:r w:rsidR="00C2544C" w:rsidRPr="00BE19BD">
              <w:rPr>
                <w:rFonts w:ascii="Times New Roman" w:hAnsi="Times New Roman" w:cs="Times New Roman"/>
                <w:vertAlign w:val="superscript"/>
              </w:rPr>
              <w:fldChar w:fldCharType="separate"/>
            </w:r>
            <w:r w:rsidRPr="00BE19BD">
              <w:rPr>
                <w:rFonts w:ascii="Times New Roman" w:hAnsi="Times New Roman" w:cs="Times New Roman"/>
                <w:noProof/>
              </w:rPr>
              <w:t>[3</w:t>
            </w:r>
            <w:r>
              <w:rPr>
                <w:rFonts w:ascii="Times New Roman" w:hAnsi="Times New Roman" w:cs="Times New Roman"/>
                <w:noProof/>
              </w:rPr>
              <w:t>5</w:t>
            </w:r>
            <w:r w:rsidRPr="00BE19BD">
              <w:rPr>
                <w:rFonts w:ascii="Times New Roman" w:hAnsi="Times New Roman" w:cs="Times New Roman"/>
                <w:noProof/>
              </w:rPr>
              <w:t>]</w:t>
            </w:r>
            <w:r w:rsidR="00C2544C" w:rsidRPr="00BE19BD">
              <w:rPr>
                <w:rFonts w:ascii="Times New Roman" w:hAnsi="Times New Roman" w:cs="Times New Roman"/>
                <w:vertAlign w:val="superscript"/>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Zhang Y (2012)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"DOI" : "10.1186/1472-6920-12-117", "ISSN" : "1472-6920", "PMID" : "23173770", "abstract" : "BACKGROUND: In medical training, statistics is considered a very difficult course to learn and teach. Current studies have found that students' attitudes toward statistics can influence their learning process. Measuring, evaluating and monitoring the changes of students' attitudes toward statistics are important. Few studies have focused on the attitudes of postgraduates, especially medical postgraduates. Our purpose was to understand current attitudes regarding statistics held by medical postgraduates and explore their effects on students' achievement. We also wanted to explore the influencing factors and the sources of these attitudes and monitor their changes after a systematic statistics course.\n\nMETHODS: A total of 539 medical postgraduates enrolled in a systematic statistics course completed the pre-form of the Survey of Attitudes Toward Statistics -28 scale, and 83 postgraduates were selected randomly from among them to complete the post-form scale after the course.\n\nRESULTS: Most medical postgraduates held positive attitudes toward statistics, but they thought statistics was a very difficult subject. The attitudes mainly came from experiences in a former statistical or mathematical class. Age, level of statistical education, research experience, specialty and mathematics basis may influence postgraduate attitudes toward statistics. There were significant positive correlations between course achievement and attitudes toward statistics. In general, student attitudes showed negative changes after completing a statistics course.\n\nCONCLUSIONS: The importance of student attitudes toward statistics must be recognized in medical postgraduate training. To make sure all students have a positive learning environment, statistics teachers should measure their students' attitudes and monitor their change of status during a course. Some necessary assistance should be offered for those students who develop negative attitudes.", "author" : [ { "dropping-particle" : "", "family" : "Zhang", "given" : "Yuhai", "non-dropping-particle" : "", "parse-names" : false, "suffix" : "" }, { "dropping-particle" : "", "family" : "Shang", "given" : "Lei", "non-dropping-particle" : "", "parse-names" : false, "suffix" : "" }, { "dropping-particle" : "", "family" : "Wang", "given" : "Rui", "non-dropping-particle" : "", "parse-names" : false, "suffix" : "" }, { "dropping-particle" : "", "family" : "Zhao", "given" : "Qinbo", "non-dropping-particle" : "", "parse-names" : false, "suffix" : "" }, { "dropping-particle" : "", "family" : "Li", "given" : "Chanjuan", "non-dropping-particle" : "", "parse-names" : false, "suffix" : "" }, { "dropping-particle" : "", "family" : "Xu", "given" : "Yongyong", "non-dropping-particle" : "", "parse-names" : false, "suffix" : "" }, { "dropping-particle" : "", "family" : "Su", "given" : "Haixia", "non-dropping-particle" : "", "parse-names" : false, "suffix" : "" } ], "container-title" : "BMC medical education", "id" : "ITEM-1", "issue" : "1", "issued" : { "date-parts" : [ [ "2012", "1" ] ] }, "page" : "117", "title" : "Attitudes toward statistics in medical postgraduates: measuring, evaluating and monitoring.", "type" : "article-journal", "volume" : "12" }, "uris" : [ "http://www.mendeley.com/documents/?uuid=9273d47e-24da-441c-93c6-df27425fd69d" ] } ], "mendeley" : { "formattedCitation" : "[6]", "plainTextFormattedCitation" : "[6]", "previouslyFormattedCitation" : "[6]"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[6]</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Zimprich D (2012)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"abstract" : "Students\u2019 attitude toward statistics plays an important role in their statistics achievement. The present research tests the factorial structure and predictors as well as outcomes of the Survey of Attitudes Toward Statistics in a sample of 346 Swiss psychology students. A confirmatory factor analysis validated the four-factor structure of the questionnaire (Affect, Cognitive Competence, Value, and Difficulty). Last math grade and sex were predictors of students\u2019 attitude toward statistics, which in turn explained 30% of the variance in statistics achievement. The results demonstrate the importance of students\u2019 feelings and opinions about statistics, over and above competence variables.", "author" : [ { "dropping-particle" : "", "family" : "Zimprich", "given" : "Daniel", "non-dropping-particle" : "", "parse-names" : false, "suffix" : "" } ], "container-title" : "Swiss Journal of Psychology", "id" : "ITEM-1", "issue" : "3", "issued" : { "date-parts" : [ [ "2012" ] ] }, "page" : "149-155", "title" : "Attitudes toward statistics among Swiss psychology students.", "type" : "article-journal", "volume" : "71" }, "uris" : [ "http://www.mendeley.com/documents/?uuid=b2d002b1-cd99-4348-94e6-be12a0a21fc6" ] } ], "mendeley" : { "formattedCitation" : "[25]", "plainTextFormattedCitation" : "[25]", "previouslyFormattedCitation" : "[25]"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[2</w:t>
            </w:r>
            <w:r>
              <w:rPr>
                <w:rFonts w:ascii="Times New Roman" w:hAnsi="Times New Roman" w:cs="Times New Roman"/>
                <w:noProof/>
              </w:rPr>
              <w:t>6</w:t>
            </w:r>
            <w:r w:rsidRPr="00BE19BD">
              <w:rPr>
                <w:rFonts w:ascii="Times New Roman" w:hAnsi="Times New Roman" w:cs="Times New Roman"/>
                <w:noProof/>
              </w:rPr>
              <w:t>]</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unclear</w:t>
            </w:r>
          </w:p>
        </w:tc>
        <w:tc>
          <w:tcPr>
            <w:tcW w:w="1743" w:type="dxa"/>
          </w:tcPr>
          <w:p w:rsidR="005709EB" w:rsidRDefault="005709EB" w:rsidP="00D06C27">
            <w:pPr>
              <w:jc w:val="center"/>
            </w:pPr>
            <w:r w:rsidRPr="006C59B4">
              <w:rPr>
                <w:rFonts w:ascii="Times New Roman" w:hAnsi="Times New Roman" w:cs="Times New Roman"/>
              </w:rPr>
              <w:t>unclear</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r>
      <w:tr w:rsidR="005709EB" w:rsidRPr="00BE19BD" w:rsidTr="00D06C27">
        <w:tc>
          <w:tcPr>
            <w:tcW w:w="2718" w:type="dxa"/>
          </w:tcPr>
          <w:p w:rsidR="005709EB" w:rsidRPr="00BE19BD" w:rsidRDefault="005709EB" w:rsidP="00D06C27">
            <w:pPr>
              <w:spacing w:before="60" w:after="60"/>
              <w:rPr>
                <w:rFonts w:ascii="Times New Roman" w:hAnsi="Times New Roman" w:cs="Times New Roman"/>
              </w:rPr>
            </w:pPr>
            <w:r w:rsidRPr="00BE19BD">
              <w:rPr>
                <w:rFonts w:ascii="Times New Roman" w:hAnsi="Times New Roman" w:cs="Times New Roman"/>
              </w:rPr>
              <w:t xml:space="preserve">Stanisavljevic D (2014) </w:t>
            </w:r>
            <w:r w:rsidR="00C2544C" w:rsidRPr="00BE19BD">
              <w:rPr>
                <w:rFonts w:ascii="Times New Roman" w:hAnsi="Times New Roman" w:cs="Times New Roman"/>
              </w:rPr>
              <w:fldChar w:fldCharType="begin" w:fldLock="1"/>
            </w:r>
            <w:r w:rsidRPr="00BE19BD">
              <w:rPr>
                <w:rFonts w:ascii="Times New Roman" w:hAnsi="Times New Roman" w:cs="Times New Roman"/>
              </w:rPr>
              <w:instrText>ADDIN CSL_CITATION { "citationItems" : [ { "id" : "ITEM-1", "itemData" : { "DOI" : "10.1371/journal.pone.0112567", "ISSN" : "1932-6203", "PMID" : "25405489", "abstract" : "BACKGROUND: Medical statistics has become important and relevant for future doctors, enabling them to practice evidence based medicine. Recent studies report that students' attitudes towards statistics play an important role in their statistics achievements. The aim of the study was to test the psychometric properties of the Serbian version of the Survey of Attitudes Towards Statistics (SATS) in order to acquire a valid instrument to measure attitudes inside the Serbian educational context.\n\nMETHODS: The validation study was performed on a cohort of 417 medical students who were enrolled in an obligatory introductory statistics course. The SATS adaptation was based on an internationally accepted methodology for translation and cultural adaptation. Psychometric properties of the Serbian version of the SATS were analyzed through the examination of factorial structure and internal consistency.\n\nRESULTS: Most medical students held positive attitudes towards statistics. The average total SATS score was above neutral (4.3\u00b10.8), and varied from 1.9 to 6.2. Confirmatory factor analysis validated the six-factor structure of the questionnaire (Affect, Cognitive Competence, Value, Difficulty, Interest and Effort). Values for fit indices TLI (0.940) and CFI (0.961) were above the cut-off of \u22650.90. The RMSEA value of 0.064 (0.051-0.078) was below the suggested value of \u22640.08. Cronbach's alpha of the entire scale was 0.90, indicating scale reliability. In a multivariate regression model, self-rating of ability in mathematics and current grade point average were significantly associated with the total SATS score after adjusting for age and gender.\n\nCONCLUSION: Present study provided the evidence for the appropriate metric properties of the Serbian version of SATS. Confirmatory factor analysis validated the six-factor structure of the scale. The SATS might be reliable and a valid instrument for identifying medical students' attitudes towards statistics in the Serbian educational context.", "author" : [ { "dropping-particle" : "", "family" : "Stanisavljevic", "given" : "Dejana", "non-dropping-particle" : "", "parse-names" : false, "suffix" : "" }, { "dropping-particle" : "", "family" : "Trajkovic", "given" : "Goran", "non-dropping-particle" : "", "parse-names" : false, "suffix" : "" }, { "dropping-particle" : "", "family" : "Marinkovic", "given" : "Jelena", "non-dropping-particle" : "", "parse-names" : false, "suffix" : "" }, { "dropping-particle" : "", "family" : "Bukumiric", "given" : "Zoran", "non-dropping-particle" : "", "parse-names" : false, "suffix" : "" }, { "dropping-particle" : "", "family" : "Cirkovic", "given" : "Andja", "non-dropping-particle" : "", "parse-names" : false, "suffix" : "" }, { "dropping-particle" : "", "family" : "Milic", "given" : "Natasa", "non-dropping-particle" : "", "parse-names" : false, "suffix" : "" } ], "container-title" : "PloS one", "id" : "ITEM-1", "issue" : "11", "issued" : { "date-parts" : [ [ "2014", "1", "18" ] ] }, "page" : "e112567", "publisher" : "Public Library of Science", "title" : "Assessing attitudes towards statistics among medical students: psychometric properties of the Serbian version of the Survey of Attitudes Towards Statistics (SATS).", "type" : "article-journal", "volume" : "9" }, "uris" : [ "http://www.mendeley.com/documents/?uuid=58960f99-12e2-4e9e-bd88-9be92c5cb977" ] } ], "mendeley" : { "formattedCitation" : "[4]", "plainTextFormattedCitation" : "[4]", "previouslyFormattedCitation" : "[4]" }, "properties" : { "noteIndex" : 0 }, "schema" : "https://github.com/citation-style-language/schema/raw/master/csl-citation.json" }</w:instrText>
            </w:r>
            <w:r w:rsidR="00C2544C" w:rsidRPr="00BE19BD">
              <w:rPr>
                <w:rFonts w:ascii="Times New Roman" w:hAnsi="Times New Roman" w:cs="Times New Roman"/>
              </w:rPr>
              <w:fldChar w:fldCharType="separate"/>
            </w:r>
            <w:r w:rsidRPr="00BE19BD">
              <w:rPr>
                <w:rFonts w:ascii="Times New Roman" w:hAnsi="Times New Roman" w:cs="Times New Roman"/>
                <w:noProof/>
              </w:rPr>
              <w:t>[4]</w:t>
            </w:r>
            <w:r w:rsidR="00C2544C" w:rsidRPr="00BE19BD">
              <w:rPr>
                <w:rFonts w:ascii="Times New Roman" w:hAnsi="Times New Roman" w:cs="Times New Roman"/>
              </w:rPr>
              <w:fldChar w:fldCharType="end"/>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high</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c>
          <w:tcPr>
            <w:tcW w:w="1743" w:type="dxa"/>
          </w:tcPr>
          <w:p w:rsidR="005709EB" w:rsidRDefault="005709EB" w:rsidP="00D06C27">
            <w:pPr>
              <w:jc w:val="center"/>
            </w:pPr>
            <w:r w:rsidRPr="008E2D83">
              <w:rPr>
                <w:rFonts w:ascii="Times New Roman" w:hAnsi="Times New Roman" w:cs="Times New Roman"/>
              </w:rPr>
              <w:t>low</w:t>
            </w:r>
          </w:p>
        </w:tc>
      </w:tr>
    </w:tbl>
    <w:p w:rsidR="005709EB" w:rsidRPr="00BE19BD" w:rsidRDefault="005709EB" w:rsidP="005709EB">
      <w:pPr>
        <w:spacing w:after="0" w:line="240" w:lineRule="auto"/>
        <w:rPr>
          <w:rFonts w:ascii="Times New Roman" w:hAnsi="Times New Roman" w:cs="Times New Roman"/>
        </w:rPr>
      </w:pPr>
      <w:r w:rsidRPr="00BE19BD">
        <w:rPr>
          <w:rFonts w:ascii="Times New Roman" w:hAnsi="Times New Roman" w:cs="Times New Roman"/>
        </w:rPr>
        <w:t>*Domain details</w:t>
      </w:r>
    </w:p>
    <w:p w:rsidR="005709EB" w:rsidRPr="00BE19BD" w:rsidRDefault="005709EB" w:rsidP="005709EB">
      <w:pPr>
        <w:spacing w:after="0" w:line="240" w:lineRule="auto"/>
        <w:rPr>
          <w:rFonts w:ascii="Times New Roman" w:hAnsi="Times New Roman" w:cs="Times New Roman"/>
        </w:rPr>
      </w:pPr>
      <w:r w:rsidRPr="00BE19BD">
        <w:rPr>
          <w:rFonts w:ascii="Times New Roman" w:hAnsi="Times New Roman" w:cs="Times New Roman"/>
        </w:rPr>
        <w:t>Selection of participants: Selection bias caused by the inadequate selection of participants</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BE19BD">
        <w:rPr>
          <w:rFonts w:ascii="Times New Roman" w:hAnsi="Times New Roman" w:cs="Times New Roman"/>
        </w:rPr>
        <w:t>Confounding variables: Selection bias caused by the inadequate confirmation and consideration of confounding variable</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19BD">
        <w:rPr>
          <w:rFonts w:ascii="Times New Roman" w:hAnsi="Times New Roman" w:cs="Times New Roman"/>
        </w:rPr>
        <w:t>Measurement of exposure: Performance bias caused by the inadequate measurement of exposure</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E19BD">
        <w:rPr>
          <w:rFonts w:ascii="Times New Roman" w:hAnsi="Times New Roman" w:cs="Times New Roman"/>
        </w:rPr>
        <w:t>Blinding of outcome assessments: Detection bias caused by the inadequate blinding of outcome assessments</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BE19BD">
        <w:rPr>
          <w:rFonts w:ascii="Times New Roman" w:hAnsi="Times New Roman" w:cs="Times New Roman"/>
        </w:rPr>
        <w:t>Incomplete outcome data: Attrition bias caused by the inadequate handling of incomplete outcome data</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BE19BD">
        <w:rPr>
          <w:rFonts w:ascii="Times New Roman" w:hAnsi="Times New Roman" w:cs="Times New Roman"/>
        </w:rPr>
        <w:t>Selective outcome reporting: Reporting bias caused by the selective reporting of outcomes</w:t>
      </w:r>
      <w:r>
        <w:rPr>
          <w:rFonts w:ascii="Times New Roman" w:hAnsi="Times New Roman" w:cs="Times New Roman"/>
        </w:rPr>
        <w:t>.</w:t>
      </w:r>
    </w:p>
    <w:p w:rsidR="005709EB" w:rsidRPr="00BE19BD" w:rsidRDefault="005709EB" w:rsidP="0057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5709EB" w:rsidRDefault="005709EB" w:rsidP="005709EB"/>
    <w:p w:rsidR="005709EB" w:rsidRPr="00086312" w:rsidRDefault="005709EB" w:rsidP="004A41AC">
      <w:pPr>
        <w:spacing w:line="360" w:lineRule="auto"/>
        <w:rPr>
          <w:rFonts w:cstheme="minorHAnsi"/>
          <w:sz w:val="24"/>
          <w:szCs w:val="24"/>
        </w:rPr>
      </w:pPr>
      <w:bookmarkStart w:id="0" w:name="_GoBack"/>
      <w:bookmarkEnd w:id="0"/>
    </w:p>
    <w:sectPr w:rsidR="005709EB" w:rsidRPr="00086312" w:rsidSect="00F333B7">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07" w:rsidRDefault="00EB3107" w:rsidP="0001125A">
      <w:pPr>
        <w:spacing w:after="0" w:line="240" w:lineRule="auto"/>
      </w:pPr>
      <w:r>
        <w:separator/>
      </w:r>
    </w:p>
  </w:endnote>
  <w:endnote w:type="continuationSeparator" w:id="0">
    <w:p w:rsidR="00EB3107" w:rsidRDefault="00EB3107" w:rsidP="0001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00877"/>
      <w:docPartObj>
        <w:docPartGallery w:val="Page Numbers (Bottom of Page)"/>
        <w:docPartUnique/>
      </w:docPartObj>
    </w:sdtPr>
    <w:sdtEndPr>
      <w:rPr>
        <w:noProof/>
      </w:rPr>
    </w:sdtEndPr>
    <w:sdtContent>
      <w:p w:rsidR="0001125A" w:rsidRDefault="00C2544C">
        <w:pPr>
          <w:pStyle w:val="Footer"/>
          <w:jc w:val="right"/>
        </w:pPr>
        <w:r>
          <w:fldChar w:fldCharType="begin"/>
        </w:r>
        <w:r w:rsidR="0001125A">
          <w:instrText xml:space="preserve"> PAGE   \* MERGEFORMAT </w:instrText>
        </w:r>
        <w:r>
          <w:fldChar w:fldCharType="separate"/>
        </w:r>
        <w:r w:rsidR="00142597">
          <w:rPr>
            <w:noProof/>
          </w:rPr>
          <w:t>1</w:t>
        </w:r>
        <w:r>
          <w:rPr>
            <w:noProof/>
          </w:rPr>
          <w:fldChar w:fldCharType="end"/>
        </w:r>
      </w:p>
    </w:sdtContent>
  </w:sdt>
  <w:p w:rsidR="0001125A" w:rsidRDefault="0001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07" w:rsidRDefault="00EB3107" w:rsidP="0001125A">
      <w:pPr>
        <w:spacing w:after="0" w:line="240" w:lineRule="auto"/>
      </w:pPr>
      <w:r>
        <w:separator/>
      </w:r>
    </w:p>
  </w:footnote>
  <w:footnote w:type="continuationSeparator" w:id="0">
    <w:p w:rsidR="00EB3107" w:rsidRDefault="00EB3107" w:rsidP="00011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F99"/>
    <w:multiLevelType w:val="hybridMultilevel"/>
    <w:tmpl w:val="76FC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E5686"/>
    <w:multiLevelType w:val="hybridMultilevel"/>
    <w:tmpl w:val="76FC3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4645D"/>
    <w:multiLevelType w:val="hybridMultilevel"/>
    <w:tmpl w:val="83AE3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B6DAB"/>
    <w:multiLevelType w:val="hybridMultilevel"/>
    <w:tmpl w:val="E754F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30B0F"/>
    <w:multiLevelType w:val="hybridMultilevel"/>
    <w:tmpl w:val="F2FA0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A0320"/>
    <w:multiLevelType w:val="hybridMultilevel"/>
    <w:tmpl w:val="C0EA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274F3"/>
    <w:multiLevelType w:val="hybridMultilevel"/>
    <w:tmpl w:val="625AA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ED"/>
    <w:rsid w:val="0000621F"/>
    <w:rsid w:val="0001125A"/>
    <w:rsid w:val="00045594"/>
    <w:rsid w:val="00057926"/>
    <w:rsid w:val="000806E8"/>
    <w:rsid w:val="00086312"/>
    <w:rsid w:val="000C6DE1"/>
    <w:rsid w:val="000F1D75"/>
    <w:rsid w:val="000F7EED"/>
    <w:rsid w:val="00106CBA"/>
    <w:rsid w:val="001221CF"/>
    <w:rsid w:val="00142597"/>
    <w:rsid w:val="001572E7"/>
    <w:rsid w:val="001609C8"/>
    <w:rsid w:val="00170BA8"/>
    <w:rsid w:val="0017532D"/>
    <w:rsid w:val="00195B0A"/>
    <w:rsid w:val="001A667F"/>
    <w:rsid w:val="001D0B1E"/>
    <w:rsid w:val="001E007D"/>
    <w:rsid w:val="001F2D3E"/>
    <w:rsid w:val="001F4425"/>
    <w:rsid w:val="0020165F"/>
    <w:rsid w:val="00226C5C"/>
    <w:rsid w:val="00236E66"/>
    <w:rsid w:val="002540A2"/>
    <w:rsid w:val="00270024"/>
    <w:rsid w:val="0028334F"/>
    <w:rsid w:val="00283D5C"/>
    <w:rsid w:val="002C7B71"/>
    <w:rsid w:val="002F1481"/>
    <w:rsid w:val="002F591E"/>
    <w:rsid w:val="002F74A5"/>
    <w:rsid w:val="00311719"/>
    <w:rsid w:val="00327214"/>
    <w:rsid w:val="003444E5"/>
    <w:rsid w:val="00345E3A"/>
    <w:rsid w:val="00350145"/>
    <w:rsid w:val="00350696"/>
    <w:rsid w:val="003C1008"/>
    <w:rsid w:val="004049A1"/>
    <w:rsid w:val="004052E0"/>
    <w:rsid w:val="00445A1C"/>
    <w:rsid w:val="00464908"/>
    <w:rsid w:val="00464EA3"/>
    <w:rsid w:val="00467FC6"/>
    <w:rsid w:val="00470840"/>
    <w:rsid w:val="0048177C"/>
    <w:rsid w:val="004A41AC"/>
    <w:rsid w:val="004B11F8"/>
    <w:rsid w:val="004C5627"/>
    <w:rsid w:val="004E3286"/>
    <w:rsid w:val="004E4298"/>
    <w:rsid w:val="005070FB"/>
    <w:rsid w:val="0051201A"/>
    <w:rsid w:val="00515AA0"/>
    <w:rsid w:val="00526682"/>
    <w:rsid w:val="005709EB"/>
    <w:rsid w:val="00571D74"/>
    <w:rsid w:val="005A1E6E"/>
    <w:rsid w:val="005A259F"/>
    <w:rsid w:val="005C22C5"/>
    <w:rsid w:val="005F1FA4"/>
    <w:rsid w:val="005F7EBF"/>
    <w:rsid w:val="00607940"/>
    <w:rsid w:val="00610D7C"/>
    <w:rsid w:val="00611C73"/>
    <w:rsid w:val="00621379"/>
    <w:rsid w:val="006222C3"/>
    <w:rsid w:val="00627FAA"/>
    <w:rsid w:val="006359DB"/>
    <w:rsid w:val="006506AB"/>
    <w:rsid w:val="0065637C"/>
    <w:rsid w:val="00672CE7"/>
    <w:rsid w:val="0069193F"/>
    <w:rsid w:val="006A2856"/>
    <w:rsid w:val="006A4780"/>
    <w:rsid w:val="006B18D2"/>
    <w:rsid w:val="006B6283"/>
    <w:rsid w:val="006C4357"/>
    <w:rsid w:val="006D3F1F"/>
    <w:rsid w:val="006E0A3F"/>
    <w:rsid w:val="007130E4"/>
    <w:rsid w:val="00714536"/>
    <w:rsid w:val="00715DBD"/>
    <w:rsid w:val="00721359"/>
    <w:rsid w:val="00730D4E"/>
    <w:rsid w:val="00741687"/>
    <w:rsid w:val="00745528"/>
    <w:rsid w:val="007543C2"/>
    <w:rsid w:val="00780FB3"/>
    <w:rsid w:val="007A5C86"/>
    <w:rsid w:val="007C5381"/>
    <w:rsid w:val="007D2C76"/>
    <w:rsid w:val="007D3D72"/>
    <w:rsid w:val="007E7944"/>
    <w:rsid w:val="0080125F"/>
    <w:rsid w:val="00803700"/>
    <w:rsid w:val="008040A5"/>
    <w:rsid w:val="008160F2"/>
    <w:rsid w:val="00823DD0"/>
    <w:rsid w:val="008428AD"/>
    <w:rsid w:val="0084507D"/>
    <w:rsid w:val="0084719A"/>
    <w:rsid w:val="00857144"/>
    <w:rsid w:val="008609B1"/>
    <w:rsid w:val="008F4065"/>
    <w:rsid w:val="00937BA7"/>
    <w:rsid w:val="0095492F"/>
    <w:rsid w:val="0097394C"/>
    <w:rsid w:val="00985F00"/>
    <w:rsid w:val="00991FB9"/>
    <w:rsid w:val="009A301F"/>
    <w:rsid w:val="009C6ACC"/>
    <w:rsid w:val="009E5E26"/>
    <w:rsid w:val="009F5206"/>
    <w:rsid w:val="009F57C9"/>
    <w:rsid w:val="00A00555"/>
    <w:rsid w:val="00A209AF"/>
    <w:rsid w:val="00A25AED"/>
    <w:rsid w:val="00A32451"/>
    <w:rsid w:val="00A40FE0"/>
    <w:rsid w:val="00A6417C"/>
    <w:rsid w:val="00A81C7E"/>
    <w:rsid w:val="00AC581A"/>
    <w:rsid w:val="00AD4539"/>
    <w:rsid w:val="00B24169"/>
    <w:rsid w:val="00B3123D"/>
    <w:rsid w:val="00B50667"/>
    <w:rsid w:val="00B67076"/>
    <w:rsid w:val="00B70EF9"/>
    <w:rsid w:val="00B768EA"/>
    <w:rsid w:val="00B97B15"/>
    <w:rsid w:val="00BA02B6"/>
    <w:rsid w:val="00BA10EA"/>
    <w:rsid w:val="00BC6D20"/>
    <w:rsid w:val="00BE7756"/>
    <w:rsid w:val="00BF043A"/>
    <w:rsid w:val="00C079D3"/>
    <w:rsid w:val="00C2544C"/>
    <w:rsid w:val="00C32E8E"/>
    <w:rsid w:val="00C5631A"/>
    <w:rsid w:val="00C74D7E"/>
    <w:rsid w:val="00CA5FBF"/>
    <w:rsid w:val="00CC34C9"/>
    <w:rsid w:val="00CD3411"/>
    <w:rsid w:val="00CE1582"/>
    <w:rsid w:val="00D067FD"/>
    <w:rsid w:val="00D2635B"/>
    <w:rsid w:val="00D32D60"/>
    <w:rsid w:val="00D4215C"/>
    <w:rsid w:val="00D73173"/>
    <w:rsid w:val="00DA2201"/>
    <w:rsid w:val="00DC4958"/>
    <w:rsid w:val="00DE17A2"/>
    <w:rsid w:val="00DE4496"/>
    <w:rsid w:val="00DE72E4"/>
    <w:rsid w:val="00DF35DB"/>
    <w:rsid w:val="00E05B08"/>
    <w:rsid w:val="00E17B9F"/>
    <w:rsid w:val="00E3114B"/>
    <w:rsid w:val="00E319E7"/>
    <w:rsid w:val="00E3422A"/>
    <w:rsid w:val="00E358BA"/>
    <w:rsid w:val="00E367BF"/>
    <w:rsid w:val="00E44048"/>
    <w:rsid w:val="00E7122D"/>
    <w:rsid w:val="00E976E9"/>
    <w:rsid w:val="00E978ED"/>
    <w:rsid w:val="00EB3107"/>
    <w:rsid w:val="00EB60A0"/>
    <w:rsid w:val="00EE3034"/>
    <w:rsid w:val="00EE3966"/>
    <w:rsid w:val="00F02412"/>
    <w:rsid w:val="00F1057B"/>
    <w:rsid w:val="00F12D22"/>
    <w:rsid w:val="00F1403C"/>
    <w:rsid w:val="00F22163"/>
    <w:rsid w:val="00F46F98"/>
    <w:rsid w:val="00F62A97"/>
    <w:rsid w:val="00F645D6"/>
    <w:rsid w:val="00F900C6"/>
    <w:rsid w:val="00FA20BD"/>
    <w:rsid w:val="00FA6E69"/>
    <w:rsid w:val="00FB281C"/>
    <w:rsid w:val="00FC47D4"/>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7F8FF-A73E-415A-86BC-9363954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EE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4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48"/>
    <w:rPr>
      <w:rFonts w:ascii="Tahoma" w:hAnsi="Tahoma" w:cs="Tahoma"/>
      <w:sz w:val="16"/>
      <w:szCs w:val="16"/>
    </w:rPr>
  </w:style>
  <w:style w:type="table" w:styleId="TableGrid">
    <w:name w:val="Table Grid"/>
    <w:basedOn w:val="TableNormal"/>
    <w:uiPriority w:val="59"/>
    <w:rsid w:val="0044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25A"/>
    <w:pPr>
      <w:tabs>
        <w:tab w:val="center" w:pos="4535"/>
        <w:tab w:val="right" w:pos="9071"/>
      </w:tabs>
      <w:spacing w:after="0" w:line="240" w:lineRule="auto"/>
    </w:pPr>
  </w:style>
  <w:style w:type="character" w:customStyle="1" w:styleId="HeaderChar">
    <w:name w:val="Header Char"/>
    <w:basedOn w:val="DefaultParagraphFont"/>
    <w:link w:val="Header"/>
    <w:uiPriority w:val="99"/>
    <w:rsid w:val="0001125A"/>
  </w:style>
  <w:style w:type="paragraph" w:styleId="Footer">
    <w:name w:val="footer"/>
    <w:basedOn w:val="Normal"/>
    <w:link w:val="FooterChar"/>
    <w:uiPriority w:val="99"/>
    <w:unhideWhenUsed/>
    <w:rsid w:val="0001125A"/>
    <w:pPr>
      <w:tabs>
        <w:tab w:val="center" w:pos="4535"/>
        <w:tab w:val="right" w:pos="9071"/>
      </w:tabs>
      <w:spacing w:after="0" w:line="240" w:lineRule="auto"/>
    </w:pPr>
  </w:style>
  <w:style w:type="character" w:customStyle="1" w:styleId="FooterChar">
    <w:name w:val="Footer Char"/>
    <w:basedOn w:val="DefaultParagraphFont"/>
    <w:link w:val="Footer"/>
    <w:uiPriority w:val="99"/>
    <w:rsid w:val="0001125A"/>
  </w:style>
  <w:style w:type="paragraph" w:styleId="ListParagraph">
    <w:name w:val="List Paragraph"/>
    <w:basedOn w:val="Normal"/>
    <w:uiPriority w:val="34"/>
    <w:qFormat/>
    <w:rsid w:val="008609B1"/>
    <w:pPr>
      <w:ind w:left="720"/>
      <w:contextualSpacing/>
    </w:pPr>
  </w:style>
  <w:style w:type="character" w:customStyle="1" w:styleId="txtsmaller">
    <w:name w:val="txtsmaller"/>
    <w:basedOn w:val="DefaultParagraphFont"/>
    <w:rsid w:val="00345E3A"/>
  </w:style>
  <w:style w:type="character" w:customStyle="1" w:styleId="txtsmallerbold">
    <w:name w:val="txtsmallerbold"/>
    <w:basedOn w:val="DefaultParagraphFont"/>
    <w:rsid w:val="00345E3A"/>
  </w:style>
  <w:style w:type="character" w:customStyle="1" w:styleId="apple-converted-space">
    <w:name w:val="apple-converted-space"/>
    <w:basedOn w:val="DefaultParagraphFont"/>
    <w:rsid w:val="0034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Milik</cp:lastModifiedBy>
  <cp:revision>4</cp:revision>
  <dcterms:created xsi:type="dcterms:W3CDTF">2016-09-30T05:30:00Z</dcterms:created>
  <dcterms:modified xsi:type="dcterms:W3CDTF">2016-09-30T05:31:00Z</dcterms:modified>
</cp:coreProperties>
</file>