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C950E" w14:textId="77777777" w:rsidR="00A321E7" w:rsidRPr="00D61919" w:rsidRDefault="00A321E7" w:rsidP="00A321E7">
      <w:pPr>
        <w:spacing w:line="360" w:lineRule="auto"/>
        <w:rPr>
          <w:rFonts w:cstheme="minorHAnsi"/>
          <w:b/>
          <w:sz w:val="24"/>
          <w:szCs w:val="24"/>
        </w:rPr>
      </w:pPr>
      <w:r w:rsidRPr="008D4D06">
        <w:rPr>
          <w:rFonts w:cstheme="minorHAnsi"/>
          <w:b/>
          <w:sz w:val="24"/>
          <w:szCs w:val="24"/>
        </w:rPr>
        <w:t>S2 Table.</w:t>
      </w:r>
      <w:r w:rsidRPr="00D61919">
        <w:rPr>
          <w:rFonts w:cstheme="minorHAnsi"/>
          <w:b/>
          <w:sz w:val="24"/>
          <w:szCs w:val="24"/>
        </w:rPr>
        <w:t xml:space="preserve"> Definitions of comorbidities</w:t>
      </w:r>
    </w:p>
    <w:tbl>
      <w:tblPr>
        <w:tblpPr w:leftFromText="180" w:rightFromText="180" w:vertAnchor="text" w:horzAnchor="margin" w:tblpY="294"/>
        <w:tblW w:w="9147" w:type="dxa"/>
        <w:tblBorders>
          <w:top w:val="single" w:sz="8" w:space="0" w:color="auto"/>
          <w:bottom w:val="single" w:sz="8" w:space="0" w:color="auto"/>
        </w:tblBorders>
        <w:tblLook w:val="04A0" w:firstRow="1" w:lastRow="0" w:firstColumn="1" w:lastColumn="0" w:noHBand="0" w:noVBand="1"/>
      </w:tblPr>
      <w:tblGrid>
        <w:gridCol w:w="3256"/>
        <w:gridCol w:w="5891"/>
      </w:tblGrid>
      <w:tr w:rsidR="00A321E7" w:rsidRPr="00AE5F88" w14:paraId="602B0F05" w14:textId="77777777" w:rsidTr="00563892">
        <w:tc>
          <w:tcPr>
            <w:tcW w:w="3256" w:type="dxa"/>
            <w:tcBorders>
              <w:top w:val="single" w:sz="8" w:space="0" w:color="auto"/>
              <w:bottom w:val="single" w:sz="8" w:space="0" w:color="auto"/>
            </w:tcBorders>
          </w:tcPr>
          <w:p w14:paraId="439F169F" w14:textId="77777777" w:rsidR="00A321E7" w:rsidRPr="00AE5F88" w:rsidRDefault="00A321E7" w:rsidP="00563892">
            <w:pPr>
              <w:spacing w:line="360" w:lineRule="auto"/>
              <w:rPr>
                <w:sz w:val="24"/>
                <w:szCs w:val="24"/>
              </w:rPr>
            </w:pPr>
            <w:r w:rsidRPr="00AE5F88">
              <w:rPr>
                <w:rFonts w:hint="eastAsia"/>
                <w:sz w:val="24"/>
                <w:szCs w:val="24"/>
              </w:rPr>
              <w:t>C</w:t>
            </w:r>
            <w:r w:rsidRPr="00AE5F88">
              <w:rPr>
                <w:sz w:val="24"/>
                <w:szCs w:val="24"/>
              </w:rPr>
              <w:t>omorbidity</w:t>
            </w:r>
          </w:p>
        </w:tc>
        <w:tc>
          <w:tcPr>
            <w:tcW w:w="5891" w:type="dxa"/>
            <w:tcBorders>
              <w:top w:val="single" w:sz="8" w:space="0" w:color="auto"/>
              <w:bottom w:val="single" w:sz="8" w:space="0" w:color="auto"/>
            </w:tcBorders>
          </w:tcPr>
          <w:p w14:paraId="4933B81D" w14:textId="77777777" w:rsidR="00A321E7" w:rsidRPr="00AE5F88" w:rsidRDefault="00A321E7" w:rsidP="00563892">
            <w:pPr>
              <w:spacing w:line="360" w:lineRule="auto"/>
              <w:jc w:val="left"/>
              <w:rPr>
                <w:sz w:val="24"/>
                <w:szCs w:val="24"/>
              </w:rPr>
            </w:pPr>
            <w:r w:rsidRPr="00AE5F88">
              <w:rPr>
                <w:sz w:val="24"/>
                <w:szCs w:val="24"/>
              </w:rPr>
              <w:t>Definition</w:t>
            </w:r>
          </w:p>
        </w:tc>
      </w:tr>
      <w:tr w:rsidR="00A321E7" w:rsidRPr="00AE5F88" w14:paraId="30BADC1F" w14:textId="77777777" w:rsidTr="00563892">
        <w:tc>
          <w:tcPr>
            <w:tcW w:w="3256" w:type="dxa"/>
            <w:tcBorders>
              <w:top w:val="single" w:sz="8" w:space="0" w:color="auto"/>
            </w:tcBorders>
          </w:tcPr>
          <w:p w14:paraId="6EEC0E87" w14:textId="77777777" w:rsidR="00A321E7" w:rsidRPr="00AE5F88" w:rsidRDefault="00A321E7" w:rsidP="00563892">
            <w:pPr>
              <w:spacing w:line="360" w:lineRule="auto"/>
              <w:rPr>
                <w:sz w:val="24"/>
                <w:szCs w:val="24"/>
              </w:rPr>
            </w:pPr>
            <w:r w:rsidRPr="00AE5F88">
              <w:rPr>
                <w:sz w:val="24"/>
                <w:szCs w:val="24"/>
              </w:rPr>
              <w:t>Hypertension</w:t>
            </w:r>
          </w:p>
        </w:tc>
        <w:tc>
          <w:tcPr>
            <w:tcW w:w="5891" w:type="dxa"/>
            <w:tcBorders>
              <w:top w:val="single" w:sz="8" w:space="0" w:color="auto"/>
            </w:tcBorders>
          </w:tcPr>
          <w:p w14:paraId="70F63778" w14:textId="77777777" w:rsidR="00A321E7" w:rsidRPr="00AE5F88" w:rsidRDefault="00A321E7" w:rsidP="00563892">
            <w:pPr>
              <w:spacing w:line="360" w:lineRule="auto"/>
              <w:jc w:val="left"/>
              <w:rPr>
                <w:sz w:val="24"/>
                <w:szCs w:val="24"/>
              </w:rPr>
            </w:pPr>
            <w:r w:rsidRPr="00AE5F88">
              <w:rPr>
                <w:sz w:val="24"/>
                <w:szCs w:val="24"/>
              </w:rPr>
              <w:t>A resting blood pressure ≥ 140mmHg systolic and/or ≥90 mmHg diastolic on at least 2 occasions or current antihypertensive drug treatment</w:t>
            </w:r>
          </w:p>
        </w:tc>
      </w:tr>
      <w:tr w:rsidR="00A321E7" w:rsidRPr="00AE5F88" w14:paraId="2CEE4F4B" w14:textId="77777777" w:rsidTr="00563892">
        <w:tc>
          <w:tcPr>
            <w:tcW w:w="3256" w:type="dxa"/>
          </w:tcPr>
          <w:p w14:paraId="0B9B6FE6" w14:textId="77777777" w:rsidR="00A321E7" w:rsidRPr="00AE5F88" w:rsidRDefault="00A321E7" w:rsidP="00563892">
            <w:pPr>
              <w:spacing w:line="360" w:lineRule="auto"/>
              <w:rPr>
                <w:sz w:val="24"/>
                <w:szCs w:val="24"/>
              </w:rPr>
            </w:pPr>
            <w:r w:rsidRPr="00AE5F88">
              <w:rPr>
                <w:sz w:val="24"/>
                <w:szCs w:val="24"/>
              </w:rPr>
              <w:t>Coronary artery disease</w:t>
            </w:r>
          </w:p>
        </w:tc>
        <w:tc>
          <w:tcPr>
            <w:tcW w:w="5891" w:type="dxa"/>
          </w:tcPr>
          <w:p w14:paraId="65208DD7" w14:textId="77777777" w:rsidR="00A321E7" w:rsidRPr="00AE5F88" w:rsidRDefault="00A321E7" w:rsidP="00563892">
            <w:pPr>
              <w:spacing w:line="360" w:lineRule="auto"/>
              <w:jc w:val="left"/>
              <w:rPr>
                <w:sz w:val="24"/>
                <w:szCs w:val="24"/>
              </w:rPr>
            </w:pPr>
            <w:r w:rsidRPr="00AE5F88">
              <w:rPr>
                <w:sz w:val="24"/>
                <w:szCs w:val="24"/>
              </w:rPr>
              <w:t>Prior myocardial infarction, angina pectoris, percutaneous coronary intervention or coronary artery bypass surgery</w:t>
            </w:r>
          </w:p>
        </w:tc>
      </w:tr>
      <w:tr w:rsidR="00A321E7" w:rsidRPr="00AE5F88" w14:paraId="3E21EE16" w14:textId="77777777" w:rsidTr="00563892">
        <w:tc>
          <w:tcPr>
            <w:tcW w:w="3256" w:type="dxa"/>
          </w:tcPr>
          <w:p w14:paraId="4D64B016" w14:textId="77777777" w:rsidR="00A321E7" w:rsidRPr="00AE5F88" w:rsidRDefault="00A321E7" w:rsidP="00563892">
            <w:pPr>
              <w:spacing w:line="360" w:lineRule="auto"/>
              <w:rPr>
                <w:sz w:val="24"/>
                <w:szCs w:val="24"/>
              </w:rPr>
            </w:pPr>
            <w:r w:rsidRPr="00AE5F88">
              <w:rPr>
                <w:sz w:val="24"/>
                <w:szCs w:val="24"/>
              </w:rPr>
              <w:t>Heart failure</w:t>
            </w:r>
          </w:p>
        </w:tc>
        <w:tc>
          <w:tcPr>
            <w:tcW w:w="5891" w:type="dxa"/>
          </w:tcPr>
          <w:p w14:paraId="2AC40C8B" w14:textId="77777777" w:rsidR="00A321E7" w:rsidRPr="00AE5F88" w:rsidRDefault="00A321E7" w:rsidP="00563892">
            <w:pPr>
              <w:spacing w:line="360" w:lineRule="auto"/>
              <w:jc w:val="left"/>
              <w:rPr>
                <w:sz w:val="24"/>
                <w:szCs w:val="24"/>
              </w:rPr>
            </w:pPr>
            <w:r w:rsidRPr="00AE5F88">
              <w:rPr>
                <w:sz w:val="24"/>
                <w:szCs w:val="24"/>
              </w:rPr>
              <w:t>The presence of signs and symptoms of either right (elevated central venous pressure, hepatomegaly, dependent edema) or left ventricular failure (exertional dyspnea, cough, fatigue, orthopnea, paroxysmal nocturnal dyspnea, cardiac enlargement, rales, gallop rhythm, pulmonary venous congestion) or both, confirmed by non-invasive or invasive measurements demonstrating objective evidence of cardiac dysfunction</w:t>
            </w:r>
          </w:p>
        </w:tc>
      </w:tr>
      <w:tr w:rsidR="00A321E7" w:rsidRPr="00AE5F88" w14:paraId="566A82D6" w14:textId="77777777" w:rsidTr="00563892">
        <w:tc>
          <w:tcPr>
            <w:tcW w:w="3256" w:type="dxa"/>
          </w:tcPr>
          <w:p w14:paraId="36B7A7AC" w14:textId="77777777" w:rsidR="00A321E7" w:rsidRPr="00AE5F88" w:rsidRDefault="00A321E7" w:rsidP="00563892">
            <w:pPr>
              <w:spacing w:line="360" w:lineRule="auto"/>
              <w:rPr>
                <w:sz w:val="24"/>
                <w:szCs w:val="24"/>
              </w:rPr>
            </w:pPr>
            <w:r w:rsidRPr="00AE5F88">
              <w:rPr>
                <w:sz w:val="24"/>
                <w:szCs w:val="24"/>
              </w:rPr>
              <w:t>Peripheral vascular disease</w:t>
            </w:r>
          </w:p>
        </w:tc>
        <w:tc>
          <w:tcPr>
            <w:tcW w:w="5891" w:type="dxa"/>
          </w:tcPr>
          <w:p w14:paraId="3EA8379E" w14:textId="77777777" w:rsidR="00A321E7" w:rsidRPr="00AE5F88" w:rsidRDefault="00A321E7" w:rsidP="00563892">
            <w:pPr>
              <w:spacing w:line="360" w:lineRule="auto"/>
              <w:jc w:val="left"/>
              <w:rPr>
                <w:sz w:val="24"/>
                <w:szCs w:val="24"/>
              </w:rPr>
            </w:pPr>
            <w:r w:rsidRPr="00AE5F88">
              <w:rPr>
                <w:sz w:val="24"/>
                <w:szCs w:val="24"/>
              </w:rPr>
              <w:t>Intermittent claudication, previous surgery or percutaneous intervention on the abdominal aorta or the lower extremity vessels, abdominal or thoracic surgery, arterial and venous thrombosis</w:t>
            </w:r>
          </w:p>
        </w:tc>
      </w:tr>
      <w:tr w:rsidR="00A321E7" w:rsidRPr="00AE5F88" w14:paraId="0AAAF06B" w14:textId="77777777" w:rsidTr="00563892">
        <w:tc>
          <w:tcPr>
            <w:tcW w:w="3256" w:type="dxa"/>
          </w:tcPr>
          <w:p w14:paraId="4F2A2ECC" w14:textId="77777777" w:rsidR="00A321E7" w:rsidRPr="00AE5F88" w:rsidRDefault="00A321E7" w:rsidP="00563892">
            <w:pPr>
              <w:spacing w:line="360" w:lineRule="auto"/>
              <w:rPr>
                <w:sz w:val="24"/>
                <w:szCs w:val="24"/>
              </w:rPr>
            </w:pPr>
            <w:r w:rsidRPr="00AE5F88">
              <w:rPr>
                <w:sz w:val="24"/>
                <w:szCs w:val="24"/>
              </w:rPr>
              <w:t>Diabetes</w:t>
            </w:r>
          </w:p>
        </w:tc>
        <w:tc>
          <w:tcPr>
            <w:tcW w:w="5891" w:type="dxa"/>
          </w:tcPr>
          <w:p w14:paraId="205226E5" w14:textId="77777777" w:rsidR="00A321E7" w:rsidRPr="00AE5F88" w:rsidRDefault="00A321E7" w:rsidP="00563892">
            <w:pPr>
              <w:spacing w:line="360" w:lineRule="auto"/>
              <w:jc w:val="left"/>
              <w:rPr>
                <w:sz w:val="24"/>
                <w:szCs w:val="24"/>
              </w:rPr>
            </w:pPr>
            <w:r w:rsidRPr="00AE5F88">
              <w:rPr>
                <w:sz w:val="24"/>
                <w:szCs w:val="24"/>
              </w:rPr>
              <w:t>Fasting plasma glucose concentration ≥ 7.0 mmol</w:t>
            </w:r>
            <w:r w:rsidRPr="00AE5F88">
              <w:rPr>
                <w:rFonts w:hint="eastAsia"/>
                <w:sz w:val="24"/>
                <w:szCs w:val="24"/>
              </w:rPr>
              <w:t xml:space="preserve">/l, or two hour plasma glucose concentration </w:t>
            </w:r>
            <w:r w:rsidRPr="00AE5F88">
              <w:rPr>
                <w:rFonts w:hint="eastAsia"/>
                <w:sz w:val="24"/>
                <w:szCs w:val="24"/>
              </w:rPr>
              <w:t>≥</w:t>
            </w:r>
            <w:r w:rsidRPr="00AE5F88">
              <w:rPr>
                <w:rFonts w:hint="eastAsia"/>
                <w:sz w:val="24"/>
                <w:szCs w:val="24"/>
              </w:rPr>
              <w:t xml:space="preserve"> 11.1 </w:t>
            </w:r>
            <w:r w:rsidRPr="00AE5F88">
              <w:rPr>
                <w:sz w:val="24"/>
                <w:szCs w:val="24"/>
              </w:rPr>
              <w:t>mmol/l after 75g anhydrous glucose in an oral glucose tolerance test</w:t>
            </w:r>
          </w:p>
        </w:tc>
      </w:tr>
      <w:tr w:rsidR="00A321E7" w:rsidRPr="00AE5F88" w14:paraId="44625170" w14:textId="77777777" w:rsidTr="00563892">
        <w:tc>
          <w:tcPr>
            <w:tcW w:w="3256" w:type="dxa"/>
          </w:tcPr>
          <w:p w14:paraId="5AD5E873" w14:textId="77777777" w:rsidR="00A321E7" w:rsidRPr="00AE5F88" w:rsidRDefault="00A321E7" w:rsidP="00563892">
            <w:pPr>
              <w:spacing w:line="360" w:lineRule="auto"/>
              <w:rPr>
                <w:sz w:val="24"/>
                <w:szCs w:val="24"/>
              </w:rPr>
            </w:pPr>
            <w:r w:rsidRPr="00AE5F88">
              <w:rPr>
                <w:sz w:val="24"/>
                <w:szCs w:val="24"/>
              </w:rPr>
              <w:t>Rheumatic heart disease</w:t>
            </w:r>
          </w:p>
        </w:tc>
        <w:tc>
          <w:tcPr>
            <w:tcW w:w="5891" w:type="dxa"/>
          </w:tcPr>
          <w:p w14:paraId="5B436ABA" w14:textId="77777777" w:rsidR="00A321E7" w:rsidRPr="00AE5F88" w:rsidRDefault="00A321E7" w:rsidP="00563892">
            <w:pPr>
              <w:spacing w:line="360" w:lineRule="auto"/>
              <w:jc w:val="left"/>
              <w:rPr>
                <w:sz w:val="24"/>
                <w:szCs w:val="24"/>
              </w:rPr>
            </w:pPr>
            <w:r w:rsidRPr="00AE5F88">
              <w:rPr>
                <w:sz w:val="24"/>
                <w:szCs w:val="24"/>
              </w:rPr>
              <w:t>Damaged heart valves that can be a narrowing or leakage, particularly mitral valve (mitral valve stenosis) as a result of residual symptoms of rheumatic fever</w:t>
            </w:r>
          </w:p>
        </w:tc>
      </w:tr>
      <w:tr w:rsidR="00A321E7" w:rsidRPr="00AE5F88" w14:paraId="17B18844" w14:textId="77777777" w:rsidTr="00563892">
        <w:tc>
          <w:tcPr>
            <w:tcW w:w="3256" w:type="dxa"/>
          </w:tcPr>
          <w:p w14:paraId="0ADB16CC" w14:textId="77777777" w:rsidR="00A321E7" w:rsidRPr="00AE5F88" w:rsidRDefault="00A321E7" w:rsidP="00563892">
            <w:pPr>
              <w:spacing w:line="360" w:lineRule="auto"/>
              <w:rPr>
                <w:sz w:val="24"/>
                <w:szCs w:val="24"/>
              </w:rPr>
            </w:pPr>
            <w:r w:rsidRPr="00AE5F88">
              <w:rPr>
                <w:sz w:val="24"/>
                <w:szCs w:val="24"/>
              </w:rPr>
              <w:t>Dilated cardiomyopathy</w:t>
            </w:r>
          </w:p>
        </w:tc>
        <w:tc>
          <w:tcPr>
            <w:tcW w:w="5891" w:type="dxa"/>
          </w:tcPr>
          <w:p w14:paraId="1206532C" w14:textId="77777777" w:rsidR="00A321E7" w:rsidRPr="00AE5F88" w:rsidRDefault="00A321E7" w:rsidP="00563892">
            <w:pPr>
              <w:spacing w:line="360" w:lineRule="auto"/>
              <w:jc w:val="left"/>
              <w:rPr>
                <w:sz w:val="24"/>
                <w:szCs w:val="24"/>
              </w:rPr>
            </w:pPr>
            <w:r w:rsidRPr="00AE5F88">
              <w:rPr>
                <w:sz w:val="24"/>
                <w:szCs w:val="24"/>
              </w:rPr>
              <w:t>The heart becomes weakened and enlarged, and it cannot pump blood efficiently.</w:t>
            </w:r>
          </w:p>
        </w:tc>
      </w:tr>
      <w:tr w:rsidR="00A321E7" w:rsidRPr="00AE5F88" w14:paraId="0D11D2EA" w14:textId="77777777" w:rsidTr="00563892">
        <w:tc>
          <w:tcPr>
            <w:tcW w:w="3256" w:type="dxa"/>
          </w:tcPr>
          <w:p w14:paraId="10C564E9" w14:textId="77777777" w:rsidR="00A321E7" w:rsidRPr="00AE5F88" w:rsidRDefault="00A321E7" w:rsidP="00563892">
            <w:pPr>
              <w:spacing w:line="360" w:lineRule="auto"/>
              <w:rPr>
                <w:sz w:val="24"/>
                <w:szCs w:val="24"/>
              </w:rPr>
            </w:pPr>
            <w:r w:rsidRPr="00AE5F88">
              <w:rPr>
                <w:sz w:val="24"/>
                <w:szCs w:val="24"/>
              </w:rPr>
              <w:t>Renal dysfunction</w:t>
            </w:r>
          </w:p>
        </w:tc>
        <w:tc>
          <w:tcPr>
            <w:tcW w:w="5891" w:type="dxa"/>
          </w:tcPr>
          <w:p w14:paraId="7FBCE7B4" w14:textId="77777777" w:rsidR="00A321E7" w:rsidRPr="00AE5F88" w:rsidRDefault="00A321E7" w:rsidP="00563892">
            <w:pPr>
              <w:spacing w:line="360" w:lineRule="auto"/>
              <w:jc w:val="left"/>
              <w:rPr>
                <w:sz w:val="24"/>
                <w:szCs w:val="24"/>
              </w:rPr>
            </w:pPr>
            <w:r w:rsidRPr="00AE5F88">
              <w:rPr>
                <w:sz w:val="24"/>
                <w:szCs w:val="24"/>
              </w:rPr>
              <w:t xml:space="preserve">The presence of chronic dialysis, renal transplantation, or an estimated glomerular filtration rate (eGFR) &lt;60 mL/min </w:t>
            </w:r>
            <w:r w:rsidRPr="00AE5F88">
              <w:rPr>
                <w:sz w:val="24"/>
                <w:szCs w:val="24"/>
              </w:rPr>
              <w:lastRenderedPageBreak/>
              <w:t>per 1.73 m</w:t>
            </w:r>
            <w:r w:rsidRPr="00AE5F88">
              <w:rPr>
                <w:sz w:val="24"/>
                <w:szCs w:val="24"/>
                <w:vertAlign w:val="superscript"/>
              </w:rPr>
              <w:t>2</w:t>
            </w:r>
          </w:p>
        </w:tc>
      </w:tr>
      <w:tr w:rsidR="00A321E7" w:rsidRPr="00AE5F88" w14:paraId="7F51ECC1" w14:textId="77777777" w:rsidTr="00563892">
        <w:tc>
          <w:tcPr>
            <w:tcW w:w="3256" w:type="dxa"/>
          </w:tcPr>
          <w:p w14:paraId="7FD50B7C" w14:textId="77777777" w:rsidR="00A321E7" w:rsidRPr="00AE5F88" w:rsidRDefault="00A321E7" w:rsidP="00563892">
            <w:pPr>
              <w:spacing w:line="360" w:lineRule="auto"/>
              <w:rPr>
                <w:sz w:val="24"/>
                <w:szCs w:val="24"/>
              </w:rPr>
            </w:pPr>
            <w:r w:rsidRPr="00AE5F88">
              <w:rPr>
                <w:rFonts w:hint="eastAsia"/>
                <w:sz w:val="24"/>
                <w:szCs w:val="24"/>
              </w:rPr>
              <w:lastRenderedPageBreak/>
              <w:t>Liver dysfunction</w:t>
            </w:r>
          </w:p>
        </w:tc>
        <w:tc>
          <w:tcPr>
            <w:tcW w:w="5891" w:type="dxa"/>
          </w:tcPr>
          <w:p w14:paraId="2B2681E5" w14:textId="77777777" w:rsidR="00A321E7" w:rsidRPr="00AE5F88" w:rsidRDefault="00A321E7" w:rsidP="00563892">
            <w:pPr>
              <w:pStyle w:val="ab"/>
              <w:tabs>
                <w:tab w:val="left" w:pos="367"/>
              </w:tabs>
              <w:spacing w:before="3" w:line="325" w:lineRule="auto"/>
              <w:ind w:right="367"/>
              <w:rPr>
                <w:rFonts w:asciiTheme="minorHAnsi" w:eastAsiaTheme="minorEastAsia" w:hAnsiTheme="minorHAnsi"/>
                <w:kern w:val="2"/>
                <w:sz w:val="24"/>
                <w:szCs w:val="24"/>
                <w:lang w:eastAsia="zh-CN"/>
              </w:rPr>
            </w:pPr>
            <w:r w:rsidRPr="00AE5F88">
              <w:rPr>
                <w:rFonts w:asciiTheme="minorHAnsi" w:eastAsiaTheme="minorEastAsia" w:hAnsiTheme="minorHAnsi"/>
                <w:kern w:val="2"/>
                <w:sz w:val="24"/>
                <w:szCs w:val="24"/>
                <w:lang w:eastAsia="zh-CN"/>
              </w:rPr>
              <w:t>The presence of liver disease with serum levels of either ALT (SGPT), AST (SGOT), or alkaline phosphatase above 3 x upper limit of normal (ULN)</w:t>
            </w:r>
          </w:p>
        </w:tc>
      </w:tr>
      <w:tr w:rsidR="00A321E7" w:rsidRPr="00AE5F88" w14:paraId="372959B1" w14:textId="77777777" w:rsidTr="00563892">
        <w:tc>
          <w:tcPr>
            <w:tcW w:w="3256" w:type="dxa"/>
          </w:tcPr>
          <w:p w14:paraId="04F49BA8" w14:textId="77777777" w:rsidR="00A321E7" w:rsidRPr="00AE5F88" w:rsidRDefault="00A321E7" w:rsidP="00563892">
            <w:pPr>
              <w:spacing w:line="360" w:lineRule="auto"/>
              <w:rPr>
                <w:sz w:val="24"/>
                <w:szCs w:val="24"/>
              </w:rPr>
            </w:pPr>
            <w:r w:rsidRPr="00AE5F88">
              <w:rPr>
                <w:sz w:val="24"/>
                <w:szCs w:val="24"/>
              </w:rPr>
              <w:t>Hyperlipidemia</w:t>
            </w:r>
          </w:p>
        </w:tc>
        <w:tc>
          <w:tcPr>
            <w:tcW w:w="5891" w:type="dxa"/>
          </w:tcPr>
          <w:p w14:paraId="3704331B" w14:textId="77777777" w:rsidR="00A321E7" w:rsidRPr="00AE5F88" w:rsidRDefault="00A321E7" w:rsidP="00563892">
            <w:pPr>
              <w:spacing w:line="360" w:lineRule="auto"/>
              <w:jc w:val="left"/>
              <w:rPr>
                <w:sz w:val="24"/>
                <w:szCs w:val="24"/>
              </w:rPr>
            </w:pPr>
            <w:r w:rsidRPr="00AE5F88">
              <w:rPr>
                <w:sz w:val="24"/>
                <w:szCs w:val="24"/>
              </w:rPr>
              <w:t xml:space="preserve">An elevation of </w:t>
            </w:r>
            <w:hyperlink r:id="rId6" w:history="1">
              <w:r w:rsidRPr="00AE5F88">
                <w:rPr>
                  <w:sz w:val="24"/>
                  <w:szCs w:val="24"/>
                </w:rPr>
                <w:t>lipids</w:t>
              </w:r>
            </w:hyperlink>
            <w:r w:rsidRPr="00AE5F88">
              <w:rPr>
                <w:sz w:val="24"/>
                <w:szCs w:val="24"/>
              </w:rPr>
              <w:t xml:space="preserve"> or </w:t>
            </w:r>
            <w:hyperlink r:id="rId7" w:history="1">
              <w:r w:rsidRPr="00AE5F88">
                <w:rPr>
                  <w:sz w:val="24"/>
                  <w:szCs w:val="24"/>
                </w:rPr>
                <w:t>lipoproteins</w:t>
              </w:r>
            </w:hyperlink>
            <w:r w:rsidRPr="00AE5F88">
              <w:rPr>
                <w:sz w:val="24"/>
                <w:szCs w:val="24"/>
              </w:rPr>
              <w:t xml:space="preserve"> in the blood, e.g. </w:t>
            </w:r>
            <w:r w:rsidRPr="00AE5F88">
              <w:t xml:space="preserve"> </w:t>
            </w:r>
            <w:r w:rsidRPr="00AE5F88">
              <w:rPr>
                <w:sz w:val="24"/>
                <w:szCs w:val="24"/>
              </w:rPr>
              <w:t>fasting triglyceride level &gt;200 mg/dL, LDL-L&gt;160mg/dL , and non-HDL-C&gt;190mg/dl</w:t>
            </w:r>
          </w:p>
        </w:tc>
      </w:tr>
      <w:tr w:rsidR="00A321E7" w:rsidRPr="00AE5F88" w14:paraId="5944C78B" w14:textId="77777777" w:rsidTr="00563892">
        <w:tc>
          <w:tcPr>
            <w:tcW w:w="3256" w:type="dxa"/>
          </w:tcPr>
          <w:p w14:paraId="4862AEB2" w14:textId="77777777" w:rsidR="00A321E7" w:rsidRPr="00AE5F88" w:rsidRDefault="00A321E7" w:rsidP="00563892">
            <w:pPr>
              <w:spacing w:line="360" w:lineRule="auto"/>
              <w:rPr>
                <w:sz w:val="24"/>
                <w:szCs w:val="24"/>
              </w:rPr>
            </w:pPr>
            <w:r w:rsidRPr="00AE5F88">
              <w:rPr>
                <w:sz w:val="24"/>
                <w:szCs w:val="24"/>
              </w:rPr>
              <w:t>Hyperthyroidism</w:t>
            </w:r>
          </w:p>
        </w:tc>
        <w:tc>
          <w:tcPr>
            <w:tcW w:w="5891" w:type="dxa"/>
          </w:tcPr>
          <w:p w14:paraId="0CD4C2E0" w14:textId="77777777" w:rsidR="00A321E7" w:rsidRPr="00AE5F88" w:rsidRDefault="00A321E7" w:rsidP="00563892">
            <w:pPr>
              <w:spacing w:line="360" w:lineRule="auto"/>
              <w:jc w:val="left"/>
              <w:rPr>
                <w:sz w:val="24"/>
                <w:szCs w:val="24"/>
              </w:rPr>
            </w:pPr>
            <w:r w:rsidRPr="00AE5F88">
              <w:rPr>
                <w:sz w:val="24"/>
                <w:szCs w:val="24"/>
              </w:rPr>
              <w:t>High levels of thyroxine and low or nonexistent amounts of  thyroid stimulating hormone (TSH)</w:t>
            </w:r>
          </w:p>
        </w:tc>
      </w:tr>
      <w:tr w:rsidR="00A321E7" w:rsidRPr="00AE5F88" w14:paraId="4DE19D61" w14:textId="77777777" w:rsidTr="00563892">
        <w:tc>
          <w:tcPr>
            <w:tcW w:w="3256" w:type="dxa"/>
          </w:tcPr>
          <w:p w14:paraId="3EA7F3DE" w14:textId="77777777" w:rsidR="00A321E7" w:rsidRPr="00AE5F88" w:rsidRDefault="00A321E7" w:rsidP="00563892">
            <w:pPr>
              <w:spacing w:line="360" w:lineRule="auto"/>
              <w:rPr>
                <w:sz w:val="24"/>
                <w:szCs w:val="24"/>
              </w:rPr>
            </w:pPr>
            <w:r w:rsidRPr="00AE5F88">
              <w:rPr>
                <w:sz w:val="24"/>
                <w:szCs w:val="24"/>
              </w:rPr>
              <w:t>Hyp</w:t>
            </w:r>
            <w:r w:rsidRPr="00AE5F88">
              <w:rPr>
                <w:rFonts w:hint="eastAsia"/>
                <w:sz w:val="24"/>
                <w:szCs w:val="24"/>
              </w:rPr>
              <w:t>o</w:t>
            </w:r>
            <w:r w:rsidRPr="00AE5F88">
              <w:rPr>
                <w:sz w:val="24"/>
                <w:szCs w:val="24"/>
              </w:rPr>
              <w:t>thyroidism</w:t>
            </w:r>
          </w:p>
        </w:tc>
        <w:tc>
          <w:tcPr>
            <w:tcW w:w="5891" w:type="dxa"/>
          </w:tcPr>
          <w:p w14:paraId="4C43535B" w14:textId="77777777" w:rsidR="00A321E7" w:rsidRPr="00AE5F88" w:rsidRDefault="00A321E7" w:rsidP="00563892">
            <w:pPr>
              <w:spacing w:line="360" w:lineRule="auto"/>
              <w:jc w:val="left"/>
              <w:rPr>
                <w:sz w:val="24"/>
                <w:szCs w:val="24"/>
              </w:rPr>
            </w:pPr>
            <w:r w:rsidRPr="00AE5F88">
              <w:rPr>
                <w:sz w:val="24"/>
                <w:szCs w:val="24"/>
              </w:rPr>
              <w:t>Low thyroxine and high TSH levels</w:t>
            </w:r>
          </w:p>
        </w:tc>
      </w:tr>
      <w:tr w:rsidR="00A321E7" w:rsidRPr="00AE5F88" w14:paraId="6343DD73" w14:textId="77777777" w:rsidTr="00563892">
        <w:tc>
          <w:tcPr>
            <w:tcW w:w="3256" w:type="dxa"/>
          </w:tcPr>
          <w:p w14:paraId="635F6B7A" w14:textId="77777777" w:rsidR="00A321E7" w:rsidRPr="00AE5F88" w:rsidRDefault="00A321E7" w:rsidP="00563892">
            <w:pPr>
              <w:spacing w:line="360" w:lineRule="auto"/>
              <w:rPr>
                <w:sz w:val="24"/>
                <w:szCs w:val="24"/>
              </w:rPr>
            </w:pPr>
            <w:r w:rsidRPr="00AE5F88">
              <w:rPr>
                <w:sz w:val="24"/>
                <w:szCs w:val="24"/>
              </w:rPr>
              <w:t>Chronic obstructive pulmonary disease</w:t>
            </w:r>
          </w:p>
        </w:tc>
        <w:tc>
          <w:tcPr>
            <w:tcW w:w="5891" w:type="dxa"/>
          </w:tcPr>
          <w:p w14:paraId="5EAB0DF8" w14:textId="77777777" w:rsidR="00A321E7" w:rsidRPr="00AE5F88" w:rsidRDefault="00A321E7" w:rsidP="00563892">
            <w:pPr>
              <w:spacing w:line="360" w:lineRule="auto"/>
              <w:jc w:val="left"/>
              <w:rPr>
                <w:sz w:val="24"/>
                <w:szCs w:val="24"/>
              </w:rPr>
            </w:pPr>
            <w:r w:rsidRPr="00AE5F88">
              <w:rPr>
                <w:sz w:val="24"/>
                <w:szCs w:val="24"/>
              </w:rPr>
              <w:t>A nonreversible lung disease that is a combination of emphysema and chronic bronchitis</w:t>
            </w:r>
          </w:p>
        </w:tc>
      </w:tr>
      <w:tr w:rsidR="00A321E7" w:rsidRPr="00AE5F88" w14:paraId="36779C45" w14:textId="77777777" w:rsidTr="00563892">
        <w:tc>
          <w:tcPr>
            <w:tcW w:w="3256" w:type="dxa"/>
          </w:tcPr>
          <w:p w14:paraId="3D93765E" w14:textId="77777777" w:rsidR="00A321E7" w:rsidRPr="00AE5F88" w:rsidRDefault="00A321E7" w:rsidP="00563892">
            <w:pPr>
              <w:spacing w:line="360" w:lineRule="auto"/>
              <w:rPr>
                <w:sz w:val="24"/>
                <w:szCs w:val="24"/>
              </w:rPr>
            </w:pPr>
            <w:r w:rsidRPr="00AE5F88">
              <w:rPr>
                <w:sz w:val="24"/>
                <w:szCs w:val="24"/>
              </w:rPr>
              <w:t>Ischemic stroke</w:t>
            </w:r>
          </w:p>
        </w:tc>
        <w:tc>
          <w:tcPr>
            <w:tcW w:w="5891" w:type="dxa"/>
          </w:tcPr>
          <w:p w14:paraId="5D30DC13" w14:textId="77777777" w:rsidR="00A321E7" w:rsidRPr="00AE5F88" w:rsidRDefault="00A321E7" w:rsidP="00563892">
            <w:pPr>
              <w:spacing w:line="360" w:lineRule="auto"/>
              <w:jc w:val="left"/>
              <w:rPr>
                <w:sz w:val="24"/>
                <w:szCs w:val="24"/>
              </w:rPr>
            </w:pPr>
            <w:r w:rsidRPr="00AE5F88">
              <w:rPr>
                <w:sz w:val="24"/>
                <w:szCs w:val="24"/>
              </w:rPr>
              <w:t>A focal neurologic deficit of sudden onset diagnosed clinically by a neurologist based on CT or MRI scanning</w:t>
            </w:r>
          </w:p>
        </w:tc>
      </w:tr>
    </w:tbl>
    <w:p w14:paraId="25B2D4F7" w14:textId="77777777" w:rsidR="00A321E7" w:rsidRPr="008D4D06" w:rsidRDefault="00A321E7" w:rsidP="00A321E7">
      <w:pPr>
        <w:spacing w:line="360" w:lineRule="auto"/>
        <w:rPr>
          <w:rFonts w:ascii="Times New Roman" w:hAnsi="Times New Roman" w:cs="Times New Roman"/>
          <w:b/>
          <w:sz w:val="28"/>
          <w:szCs w:val="24"/>
        </w:rPr>
      </w:pPr>
    </w:p>
    <w:p w14:paraId="58A0CFA9" w14:textId="77777777" w:rsidR="00A321E7" w:rsidRPr="00931581" w:rsidRDefault="00A321E7" w:rsidP="00A321E7">
      <w:pPr>
        <w:pStyle w:val="a6"/>
        <w:spacing w:line="360" w:lineRule="auto"/>
        <w:ind w:left="420" w:firstLineChars="0" w:firstLine="0"/>
        <w:rPr>
          <w:rFonts w:ascii="Times New Roman" w:hAnsi="Times New Roman" w:cs="Times New Roman"/>
          <w:b/>
          <w:sz w:val="24"/>
          <w:szCs w:val="24"/>
        </w:rPr>
      </w:pPr>
    </w:p>
    <w:p w14:paraId="2C4B6E9F" w14:textId="77777777" w:rsidR="00A321E7" w:rsidRDefault="00A321E7" w:rsidP="00A321E7">
      <w:pPr>
        <w:autoSpaceDE w:val="0"/>
        <w:autoSpaceDN w:val="0"/>
        <w:adjustRightInd w:val="0"/>
        <w:spacing w:line="480" w:lineRule="auto"/>
        <w:rPr>
          <w:rFonts w:ascii="Times New Roman" w:hAnsi="Times New Roman" w:cs="Times New Roman"/>
          <w:kern w:val="0"/>
          <w:sz w:val="24"/>
          <w:szCs w:val="24"/>
        </w:rPr>
      </w:pPr>
    </w:p>
    <w:p w14:paraId="64DF96A3" w14:textId="77777777" w:rsidR="00A321E7" w:rsidRPr="00556A66" w:rsidRDefault="00A321E7" w:rsidP="00A321E7">
      <w:pPr>
        <w:spacing w:line="360" w:lineRule="auto"/>
        <w:rPr>
          <w:rFonts w:cs="Times New Roman"/>
          <w:color w:val="000000" w:themeColor="text1"/>
          <w:sz w:val="24"/>
          <w:szCs w:val="24"/>
        </w:rPr>
      </w:pPr>
    </w:p>
    <w:p w14:paraId="70A2D2FD" w14:textId="77777777" w:rsidR="00A321E7" w:rsidRPr="001C1512" w:rsidRDefault="00A321E7" w:rsidP="00A321E7">
      <w:pPr>
        <w:spacing w:line="360" w:lineRule="auto"/>
        <w:rPr>
          <w:b/>
          <w:sz w:val="24"/>
          <w:szCs w:val="24"/>
        </w:rPr>
      </w:pPr>
    </w:p>
    <w:p w14:paraId="318523B4" w14:textId="77777777" w:rsidR="00A321E7" w:rsidRPr="00BB0CC4" w:rsidRDefault="00A321E7" w:rsidP="00A321E7">
      <w:pPr>
        <w:rPr>
          <w:b/>
          <w:sz w:val="28"/>
          <w:szCs w:val="28"/>
        </w:rPr>
      </w:pPr>
    </w:p>
    <w:p w14:paraId="5BB78A87" w14:textId="77777777" w:rsidR="00A321E7" w:rsidRDefault="00A321E7" w:rsidP="00A321E7">
      <w:pPr>
        <w:rPr>
          <w:b/>
          <w:sz w:val="28"/>
          <w:szCs w:val="28"/>
        </w:rPr>
      </w:pPr>
    </w:p>
    <w:p w14:paraId="2B4A4A97" w14:textId="77777777" w:rsidR="00A321E7" w:rsidRDefault="00A321E7" w:rsidP="00A321E7">
      <w:pPr>
        <w:rPr>
          <w:b/>
          <w:sz w:val="28"/>
          <w:szCs w:val="28"/>
        </w:rPr>
      </w:pPr>
    </w:p>
    <w:p w14:paraId="5C1C4BC2" w14:textId="77777777" w:rsidR="00A321E7" w:rsidRDefault="00A321E7" w:rsidP="00A321E7">
      <w:pPr>
        <w:rPr>
          <w:b/>
          <w:sz w:val="28"/>
          <w:szCs w:val="28"/>
        </w:rPr>
      </w:pPr>
    </w:p>
    <w:p w14:paraId="44934790" w14:textId="77777777" w:rsidR="00A321E7" w:rsidRDefault="00A321E7" w:rsidP="00A321E7">
      <w:pPr>
        <w:rPr>
          <w:b/>
          <w:sz w:val="28"/>
          <w:szCs w:val="28"/>
        </w:rPr>
      </w:pPr>
    </w:p>
    <w:p w14:paraId="612D4357" w14:textId="77777777" w:rsidR="00A321E7" w:rsidRDefault="00A321E7" w:rsidP="00A321E7">
      <w:pPr>
        <w:rPr>
          <w:b/>
          <w:sz w:val="28"/>
          <w:szCs w:val="28"/>
        </w:rPr>
      </w:pPr>
    </w:p>
    <w:p w14:paraId="207D4D41" w14:textId="77777777" w:rsidR="00A321E7" w:rsidRDefault="00A321E7" w:rsidP="00A321E7">
      <w:pPr>
        <w:rPr>
          <w:b/>
          <w:sz w:val="28"/>
          <w:szCs w:val="28"/>
        </w:rPr>
      </w:pPr>
    </w:p>
    <w:p w14:paraId="020978A1" w14:textId="77777777" w:rsidR="00A321E7" w:rsidRDefault="00A321E7" w:rsidP="00A321E7">
      <w:pPr>
        <w:rPr>
          <w:b/>
          <w:sz w:val="28"/>
          <w:szCs w:val="28"/>
        </w:rPr>
      </w:pPr>
    </w:p>
    <w:p w14:paraId="40656CF0" w14:textId="77777777" w:rsidR="00A321E7" w:rsidRDefault="00A321E7" w:rsidP="00A321E7">
      <w:pPr>
        <w:rPr>
          <w:b/>
          <w:sz w:val="28"/>
          <w:szCs w:val="28"/>
        </w:rPr>
      </w:pPr>
    </w:p>
    <w:p w14:paraId="0E1112BA" w14:textId="77777777" w:rsidR="00A321E7" w:rsidRDefault="00A321E7" w:rsidP="00A321E7">
      <w:pPr>
        <w:rPr>
          <w:b/>
          <w:sz w:val="28"/>
          <w:szCs w:val="28"/>
        </w:rPr>
      </w:pPr>
    </w:p>
    <w:p w14:paraId="40082464" w14:textId="77777777" w:rsidR="00A321E7" w:rsidRDefault="00A321E7" w:rsidP="00A321E7">
      <w:pPr>
        <w:rPr>
          <w:b/>
          <w:sz w:val="28"/>
          <w:szCs w:val="28"/>
        </w:rPr>
      </w:pPr>
    </w:p>
    <w:p w14:paraId="1368DA5C" w14:textId="77777777" w:rsidR="00A321E7" w:rsidRDefault="00A321E7" w:rsidP="00A321E7">
      <w:pPr>
        <w:rPr>
          <w:b/>
          <w:sz w:val="28"/>
          <w:szCs w:val="28"/>
        </w:rPr>
      </w:pPr>
    </w:p>
    <w:p w14:paraId="19246BD3" w14:textId="77777777" w:rsidR="00023963" w:rsidRPr="00A321E7" w:rsidRDefault="00023963" w:rsidP="00A321E7">
      <w:bookmarkStart w:id="0" w:name="_GoBack"/>
      <w:bookmarkEnd w:id="0"/>
    </w:p>
    <w:sectPr w:rsidR="00023963" w:rsidRPr="00A321E7" w:rsidSect="00576C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A669F" w14:textId="77777777" w:rsidR="00644990" w:rsidRDefault="00644990" w:rsidP="004F3D19">
      <w:r>
        <w:separator/>
      </w:r>
    </w:p>
  </w:endnote>
  <w:endnote w:type="continuationSeparator" w:id="0">
    <w:p w14:paraId="106AA70B" w14:textId="77777777" w:rsidR="00644990" w:rsidRDefault="00644990" w:rsidP="004F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32128" w14:textId="77777777" w:rsidR="00644990" w:rsidRDefault="00644990" w:rsidP="004F3D19">
      <w:r>
        <w:separator/>
      </w:r>
    </w:p>
  </w:footnote>
  <w:footnote w:type="continuationSeparator" w:id="0">
    <w:p w14:paraId="2851AB5D" w14:textId="77777777" w:rsidR="00644990" w:rsidRDefault="00644990" w:rsidP="004F3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49"/>
    <w:rsid w:val="00013304"/>
    <w:rsid w:val="00023963"/>
    <w:rsid w:val="00083916"/>
    <w:rsid w:val="000906E3"/>
    <w:rsid w:val="000A0A98"/>
    <w:rsid w:val="000A0BE4"/>
    <w:rsid w:val="000C7518"/>
    <w:rsid w:val="001272F7"/>
    <w:rsid w:val="00164F4E"/>
    <w:rsid w:val="002001C3"/>
    <w:rsid w:val="00283D49"/>
    <w:rsid w:val="00297C38"/>
    <w:rsid w:val="00387730"/>
    <w:rsid w:val="00492A94"/>
    <w:rsid w:val="004E7DC1"/>
    <w:rsid w:val="004F3D19"/>
    <w:rsid w:val="00550070"/>
    <w:rsid w:val="00576CF1"/>
    <w:rsid w:val="00644990"/>
    <w:rsid w:val="00691626"/>
    <w:rsid w:val="007A6DA1"/>
    <w:rsid w:val="007F2FC4"/>
    <w:rsid w:val="008C485C"/>
    <w:rsid w:val="008D4D06"/>
    <w:rsid w:val="009118E8"/>
    <w:rsid w:val="00943215"/>
    <w:rsid w:val="009E2552"/>
    <w:rsid w:val="00A321E7"/>
    <w:rsid w:val="00BA3887"/>
    <w:rsid w:val="00BF279F"/>
    <w:rsid w:val="00C60D8C"/>
    <w:rsid w:val="00CA72F7"/>
    <w:rsid w:val="00D15AED"/>
    <w:rsid w:val="00D73361"/>
    <w:rsid w:val="00DA55C4"/>
    <w:rsid w:val="00DB5679"/>
    <w:rsid w:val="00E077E1"/>
    <w:rsid w:val="00E102B4"/>
    <w:rsid w:val="00E143B8"/>
    <w:rsid w:val="00E65703"/>
    <w:rsid w:val="00EA3947"/>
    <w:rsid w:val="00EB4C49"/>
    <w:rsid w:val="00F064E0"/>
    <w:rsid w:val="00F33049"/>
    <w:rsid w:val="00F83ED4"/>
    <w:rsid w:val="00FE0D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FBE53"/>
  <w15:docId w15:val="{4A15FCE4-1E4B-4E43-A8A2-19E04768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33049"/>
    <w:pPr>
      <w:widowControl w:val="0"/>
      <w:spacing w:after="0" w:line="240" w:lineRule="auto"/>
      <w:jc w:val="both"/>
    </w:pPr>
    <w:rPr>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semiHidden/>
    <w:rsid w:val="00EA3947"/>
    <w:pPr>
      <w:widowControl/>
      <w:spacing w:after="200" w:line="276" w:lineRule="auto"/>
      <w:jc w:val="left"/>
    </w:pPr>
    <w:rPr>
      <w:rFonts w:ascii="Times New Roman" w:eastAsiaTheme="minorHAnsi" w:hAnsi="Times New Roman"/>
      <w:noProof/>
      <w:kern w:val="0"/>
      <w:sz w:val="22"/>
      <w:szCs w:val="2"/>
      <w:lang w:val="en-GB" w:eastAsia="x-none"/>
    </w:rPr>
  </w:style>
  <w:style w:type="character" w:customStyle="1" w:styleId="a4">
    <w:name w:val="批注框文本 字符"/>
    <w:link w:val="a3"/>
    <w:semiHidden/>
    <w:rsid w:val="00EA3947"/>
    <w:rPr>
      <w:rFonts w:ascii="Times New Roman" w:hAnsi="Times New Roman"/>
      <w:noProof/>
      <w:szCs w:val="2"/>
      <w:lang w:eastAsia="x-none"/>
    </w:rPr>
  </w:style>
  <w:style w:type="paragraph" w:styleId="a5">
    <w:name w:val="Normal (Web)"/>
    <w:basedOn w:val="a"/>
    <w:uiPriority w:val="99"/>
    <w:unhideWhenUsed/>
    <w:rsid w:val="00F33049"/>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F33049"/>
    <w:pPr>
      <w:ind w:firstLineChars="200" w:firstLine="420"/>
    </w:pPr>
  </w:style>
  <w:style w:type="paragraph" w:styleId="a7">
    <w:name w:val="header"/>
    <w:basedOn w:val="a"/>
    <w:link w:val="a8"/>
    <w:uiPriority w:val="99"/>
    <w:unhideWhenUsed/>
    <w:rsid w:val="004F3D1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F3D19"/>
    <w:rPr>
      <w:kern w:val="2"/>
      <w:sz w:val="18"/>
      <w:szCs w:val="18"/>
      <w:lang w:val="en-US" w:eastAsia="zh-CN"/>
    </w:rPr>
  </w:style>
  <w:style w:type="paragraph" w:styleId="a9">
    <w:name w:val="footer"/>
    <w:basedOn w:val="a"/>
    <w:link w:val="aa"/>
    <w:uiPriority w:val="99"/>
    <w:unhideWhenUsed/>
    <w:rsid w:val="004F3D19"/>
    <w:pPr>
      <w:tabs>
        <w:tab w:val="center" w:pos="4153"/>
        <w:tab w:val="right" w:pos="8306"/>
      </w:tabs>
      <w:snapToGrid w:val="0"/>
      <w:jc w:val="left"/>
    </w:pPr>
    <w:rPr>
      <w:sz w:val="18"/>
      <w:szCs w:val="18"/>
    </w:rPr>
  </w:style>
  <w:style w:type="character" w:customStyle="1" w:styleId="aa">
    <w:name w:val="页脚 字符"/>
    <w:basedOn w:val="a0"/>
    <w:link w:val="a9"/>
    <w:uiPriority w:val="99"/>
    <w:rsid w:val="004F3D19"/>
    <w:rPr>
      <w:kern w:val="2"/>
      <w:sz w:val="18"/>
      <w:szCs w:val="18"/>
      <w:lang w:val="en-US" w:eastAsia="zh-CN"/>
    </w:rPr>
  </w:style>
  <w:style w:type="paragraph" w:styleId="ab">
    <w:name w:val="Body Text"/>
    <w:basedOn w:val="a"/>
    <w:link w:val="ac"/>
    <w:uiPriority w:val="1"/>
    <w:qFormat/>
    <w:rsid w:val="008D4D06"/>
    <w:pPr>
      <w:ind w:left="20"/>
      <w:jc w:val="left"/>
    </w:pPr>
    <w:rPr>
      <w:rFonts w:ascii="Times New Roman" w:eastAsia="Times New Roman" w:hAnsi="Times New Roman"/>
      <w:kern w:val="0"/>
      <w:sz w:val="20"/>
      <w:szCs w:val="20"/>
      <w:lang w:eastAsia="en-US"/>
    </w:rPr>
  </w:style>
  <w:style w:type="character" w:customStyle="1" w:styleId="ac">
    <w:name w:val="正文文本 字符"/>
    <w:basedOn w:val="a0"/>
    <w:link w:val="ab"/>
    <w:uiPriority w:val="1"/>
    <w:rsid w:val="008D4D06"/>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s-medical.net/health/What-are-Lipoprotein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olesterol.about.com/od/aboutcholesterol/g/lipid.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SWBH</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GYHL</dc:creator>
  <cp:keywords/>
  <dc:description/>
  <cp:lastModifiedBy>YUTAO GUO</cp:lastModifiedBy>
  <cp:revision>2</cp:revision>
  <dcterms:created xsi:type="dcterms:W3CDTF">2016-09-12T01:12:00Z</dcterms:created>
  <dcterms:modified xsi:type="dcterms:W3CDTF">2016-09-12T01:12:00Z</dcterms:modified>
</cp:coreProperties>
</file>