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444C" w14:textId="77777777" w:rsidR="00D85E5B" w:rsidRPr="008E19EC" w:rsidRDefault="00D85E5B" w:rsidP="00D85E5B">
      <w:pPr>
        <w:pStyle w:val="Heading1"/>
        <w:spacing w:line="480" w:lineRule="auto"/>
        <w:rPr>
          <w:rFonts w:ascii="Times New Roman" w:hAnsi="Times New Roman" w:cs="Times New Roman"/>
        </w:rPr>
      </w:pPr>
      <w:bookmarkStart w:id="0" w:name="_GoBack"/>
      <w:bookmarkEnd w:id="0"/>
      <w:r>
        <w:rPr>
          <w:rFonts w:ascii="Times New Roman" w:hAnsi="Times New Roman" w:cs="Times New Roman"/>
        </w:rPr>
        <w:t xml:space="preserve">Supporting Information </w:t>
      </w:r>
    </w:p>
    <w:p w14:paraId="2D12FFB0" w14:textId="77777777" w:rsidR="00D85E5B" w:rsidRDefault="00D85E5B" w:rsidP="00D85E5B">
      <w:pPr>
        <w:pStyle w:val="Heading2"/>
        <w:spacing w:line="480" w:lineRule="auto"/>
        <w:rPr>
          <w:rFonts w:ascii="Times New Roman" w:hAnsi="Times New Roman" w:cs="Times New Roman"/>
        </w:rPr>
      </w:pPr>
      <w:r>
        <w:rPr>
          <w:rFonts w:ascii="Times New Roman" w:hAnsi="Times New Roman" w:cs="Times New Roman"/>
        </w:rPr>
        <w:t xml:space="preserve">S1 </w:t>
      </w:r>
      <w:r w:rsidR="001927DD">
        <w:rPr>
          <w:rFonts w:ascii="Times New Roman" w:hAnsi="Times New Roman" w:cs="Times New Roman"/>
        </w:rPr>
        <w:t xml:space="preserve">- </w:t>
      </w:r>
      <w:r>
        <w:rPr>
          <w:rFonts w:ascii="Times New Roman" w:hAnsi="Times New Roman" w:cs="Times New Roman"/>
        </w:rPr>
        <w:t xml:space="preserve">Qualitative Risk Assessment Scoring </w:t>
      </w:r>
    </w:p>
    <w:p w14:paraId="4CE7C1E0" w14:textId="77777777" w:rsidR="00D85E5B" w:rsidRPr="008E19EC" w:rsidRDefault="00D85E5B" w:rsidP="00D85E5B">
      <w:pPr>
        <w:pStyle w:val="Heading3"/>
      </w:pPr>
      <w:r w:rsidRPr="00286D36">
        <w:rPr>
          <w:color w:val="0070C0"/>
        </w:rPr>
        <w:t>Scoring exposure and consequence</w:t>
      </w:r>
    </w:p>
    <w:p w14:paraId="72059E64" w14:textId="77777777" w:rsidR="00D85E5B" w:rsidRPr="008E19EC" w:rsidRDefault="00D85E5B" w:rsidP="00D85E5B">
      <w:pPr>
        <w:spacing w:line="480" w:lineRule="auto"/>
        <w:rPr>
          <w:rFonts w:ascii="Times New Roman" w:hAnsi="Times New Roman" w:cs="Times New Roman"/>
        </w:rPr>
      </w:pPr>
      <w:r w:rsidRPr="008E19EC">
        <w:rPr>
          <w:rFonts w:ascii="Times New Roman" w:hAnsi="Times New Roman" w:cs="Times New Roman"/>
          <w:i/>
          <w:iCs/>
        </w:rPr>
        <w:t>Temporal Scale</w:t>
      </w:r>
      <w:r w:rsidRPr="008E19EC">
        <w:rPr>
          <w:rFonts w:ascii="Times New Roman" w:hAnsi="Times New Roman" w:cs="Times New Roman"/>
          <w:i/>
          <w:iCs/>
          <w:vertAlign w:val="subscript"/>
        </w:rPr>
        <w:t xml:space="preserve"> </w:t>
      </w:r>
      <w:r w:rsidRPr="008E19EC">
        <w:rPr>
          <w:rFonts w:ascii="Times New Roman" w:hAnsi="Times New Roman" w:cs="Times New Roman"/>
          <w:i/>
          <w:iCs/>
        </w:rPr>
        <w:t>(TS)</w:t>
      </w:r>
      <w:r w:rsidRPr="008E19EC">
        <w:rPr>
          <w:rFonts w:ascii="Times New Roman" w:hAnsi="Times New Roman" w:cs="Times New Roman"/>
        </w:rPr>
        <w:t xml:space="preserve"> refers to the frequency of the event, rather than its duration.  Consideration was given to how often the stressor occurs, rather than how long the effect is felt by the </w:t>
      </w:r>
      <w:r>
        <w:rPr>
          <w:rFonts w:ascii="Times New Roman" w:hAnsi="Times New Roman" w:cs="Times New Roman"/>
        </w:rPr>
        <w:t>ecosystem component</w:t>
      </w:r>
      <w:r w:rsidRPr="008E19EC">
        <w:rPr>
          <w:rFonts w:ascii="Times New Roman" w:hAnsi="Times New Roman" w:cs="Times New Roman"/>
        </w:rPr>
        <w:t xml:space="preserve"> (which in practice was included in the </w:t>
      </w:r>
      <w:proofErr w:type="spellStart"/>
      <w:r w:rsidRPr="008E19EC">
        <w:rPr>
          <w:rFonts w:ascii="Times New Roman" w:hAnsi="Times New Roman" w:cs="Times New Roman"/>
          <w:i/>
          <w:iCs/>
        </w:rPr>
        <w:t>Consequence</w:t>
      </w:r>
      <w:r w:rsidRPr="008E19EC">
        <w:rPr>
          <w:rFonts w:ascii="Times New Roman" w:hAnsi="Times New Roman" w:cs="Times New Roman"/>
          <w:i/>
          <w:iCs/>
          <w:vertAlign w:val="subscript"/>
        </w:rPr>
        <w:t>ij</w:t>
      </w:r>
      <w:proofErr w:type="spellEnd"/>
      <w:r w:rsidRPr="008E19EC">
        <w:rPr>
          <w:rFonts w:ascii="Times New Roman" w:hAnsi="Times New Roman" w:cs="Times New Roman"/>
          <w:i/>
          <w:iCs/>
        </w:rPr>
        <w:t xml:space="preserve"> </w:t>
      </w:r>
      <w:r w:rsidRPr="008E19EC">
        <w:rPr>
          <w:rFonts w:ascii="Times New Roman" w:hAnsi="Times New Roman" w:cs="Times New Roman"/>
        </w:rPr>
        <w:t xml:space="preserve">scoring). Scoring is described in </w:t>
      </w:r>
      <w:r>
        <w:rPr>
          <w:rFonts w:ascii="Times New Roman" w:hAnsi="Times New Roman" w:cs="Times New Roman"/>
        </w:rPr>
        <w:t xml:space="preserve">S1 </w:t>
      </w:r>
      <w:r w:rsidRPr="008E19EC">
        <w:rPr>
          <w:rFonts w:ascii="Times New Roman" w:hAnsi="Times New Roman" w:cs="Times New Roman"/>
        </w:rPr>
        <w:t xml:space="preserve">Table </w:t>
      </w:r>
      <w:r>
        <w:rPr>
          <w:rFonts w:ascii="Times New Roman" w:hAnsi="Times New Roman" w:cs="Times New Roman"/>
        </w:rPr>
        <w:t>1A</w:t>
      </w:r>
      <w:r w:rsidRPr="008E19EC">
        <w:rPr>
          <w:rFonts w:ascii="Times New Roman" w:hAnsi="Times New Roman" w:cs="Times New Roman"/>
        </w:rPr>
        <w:t>.</w:t>
      </w:r>
    </w:p>
    <w:p w14:paraId="5C9A515F" w14:textId="77777777" w:rsidR="00D85E5B" w:rsidRPr="008E19EC" w:rsidRDefault="00D85E5B" w:rsidP="00D85E5B">
      <w:pPr>
        <w:spacing w:line="480" w:lineRule="auto"/>
        <w:rPr>
          <w:rFonts w:ascii="Times New Roman" w:hAnsi="Times New Roman" w:cs="Times New Roman"/>
          <w:i/>
          <w:iCs/>
        </w:rPr>
      </w:pPr>
      <w:r w:rsidRPr="008E19EC">
        <w:rPr>
          <w:rFonts w:ascii="Times New Roman" w:hAnsi="Times New Roman" w:cs="Times New Roman"/>
          <w:i/>
          <w:iCs/>
        </w:rPr>
        <w:t>Spatial Scale</w:t>
      </w:r>
      <w:r w:rsidRPr="008E19EC">
        <w:rPr>
          <w:rFonts w:ascii="Times New Roman" w:hAnsi="Times New Roman" w:cs="Times New Roman"/>
        </w:rPr>
        <w:t xml:space="preserve"> </w:t>
      </w:r>
      <w:r w:rsidRPr="008E19EC">
        <w:rPr>
          <w:rFonts w:ascii="Times New Roman" w:hAnsi="Times New Roman" w:cs="Times New Roman"/>
          <w:i/>
          <w:iCs/>
        </w:rPr>
        <w:t xml:space="preserve">(SS) </w:t>
      </w:r>
      <w:r w:rsidRPr="008E19EC">
        <w:rPr>
          <w:rFonts w:ascii="Times New Roman" w:hAnsi="Times New Roman" w:cs="Times New Roman"/>
        </w:rPr>
        <w:t xml:space="preserve">is the scale or spatial extent of the impact from the stressor.  For example, under sedimentation from trawl fisheries, consideration was given to how far sediment is carried from the site of the trawl. Scoring for the dive fishery considered the size of the footprint of habitat disturbance from a single dive.  Scoring is described in </w:t>
      </w:r>
      <w:r>
        <w:rPr>
          <w:rFonts w:ascii="Times New Roman" w:hAnsi="Times New Roman" w:cs="Times New Roman"/>
        </w:rPr>
        <w:t xml:space="preserve">S1 </w:t>
      </w:r>
      <w:r w:rsidRPr="008E19EC">
        <w:rPr>
          <w:rFonts w:ascii="Times New Roman" w:hAnsi="Times New Roman" w:cs="Times New Roman"/>
        </w:rPr>
        <w:t xml:space="preserve">Table </w:t>
      </w:r>
      <w:r>
        <w:rPr>
          <w:rFonts w:ascii="Times New Roman" w:hAnsi="Times New Roman" w:cs="Times New Roman"/>
        </w:rPr>
        <w:t>1B</w:t>
      </w:r>
      <w:r w:rsidRPr="008E19EC">
        <w:rPr>
          <w:rFonts w:ascii="Times New Roman" w:hAnsi="Times New Roman" w:cs="Times New Roman"/>
        </w:rPr>
        <w:t>.</w:t>
      </w:r>
    </w:p>
    <w:p w14:paraId="27308AD8" w14:textId="77777777" w:rsidR="00D85E5B" w:rsidRPr="008E19EC" w:rsidRDefault="00D85E5B" w:rsidP="00D85E5B">
      <w:pPr>
        <w:spacing w:line="480" w:lineRule="auto"/>
        <w:rPr>
          <w:rFonts w:ascii="Times New Roman" w:hAnsi="Times New Roman" w:cs="Times New Roman"/>
        </w:rPr>
      </w:pPr>
      <w:r w:rsidRPr="008E19EC">
        <w:rPr>
          <w:rFonts w:ascii="Times New Roman" w:hAnsi="Times New Roman" w:cs="Times New Roman"/>
          <w:i/>
          <w:iCs/>
        </w:rPr>
        <w:t>Load (L)</w:t>
      </w:r>
      <w:r w:rsidRPr="008E19EC">
        <w:rPr>
          <w:rFonts w:ascii="Times New Roman" w:hAnsi="Times New Roman" w:cs="Times New Roman"/>
        </w:rPr>
        <w:t xml:space="preserve"> is a measure of the density and persistence of the stressor.  Depending on the stressor or activity in question, Load can refer</w:t>
      </w:r>
      <w:r w:rsidR="00397C8F">
        <w:rPr>
          <w:rFonts w:ascii="Times New Roman" w:hAnsi="Times New Roman" w:cs="Times New Roman"/>
        </w:rPr>
        <w:t xml:space="preserve"> to</w:t>
      </w:r>
      <w:r w:rsidRPr="008E19EC">
        <w:rPr>
          <w:rFonts w:ascii="Times New Roman" w:hAnsi="Times New Roman" w:cs="Times New Roman"/>
        </w:rPr>
        <w:t xml:space="preserve"> effort, density, amount of an activity, or the amount or strength of a stressor (e.g. quantity or concentration of a pollutant or harmful species, rate of change for climate change) across the entire study area (in this case, </w:t>
      </w:r>
      <w:r>
        <w:rPr>
          <w:rFonts w:ascii="Times New Roman" w:hAnsi="Times New Roman" w:cs="Times New Roman"/>
        </w:rPr>
        <w:t xml:space="preserve">the Pacific North Coast Integrated Management Area, </w:t>
      </w:r>
      <w:r w:rsidRPr="008E19EC">
        <w:rPr>
          <w:rFonts w:ascii="Times New Roman" w:hAnsi="Times New Roman" w:cs="Times New Roman"/>
        </w:rPr>
        <w:t xml:space="preserve">PNCIMA). For example, load for finfish aquaculture evaluates how many finfish farms are there in PNCIMA and how often and how much area is covered by finfish farms. Scoring described in </w:t>
      </w:r>
      <w:r>
        <w:rPr>
          <w:rFonts w:ascii="Times New Roman" w:hAnsi="Times New Roman" w:cs="Times New Roman"/>
        </w:rPr>
        <w:t>S1</w:t>
      </w:r>
      <w:r w:rsidRPr="008E19EC">
        <w:rPr>
          <w:rFonts w:ascii="Times New Roman" w:hAnsi="Times New Roman" w:cs="Times New Roman"/>
        </w:rPr>
        <w:t xml:space="preserve">Table </w:t>
      </w:r>
      <w:r>
        <w:rPr>
          <w:rFonts w:ascii="Times New Roman" w:hAnsi="Times New Roman" w:cs="Times New Roman"/>
        </w:rPr>
        <w:t>1C</w:t>
      </w:r>
      <w:r w:rsidRPr="008E19EC">
        <w:rPr>
          <w:rFonts w:ascii="Times New Roman" w:hAnsi="Times New Roman" w:cs="Times New Roman"/>
        </w:rPr>
        <w:t>.</w:t>
      </w:r>
    </w:p>
    <w:p w14:paraId="0C4B5870" w14:textId="77777777" w:rsidR="00D85E5B" w:rsidRPr="008E19EC" w:rsidRDefault="00D85E5B" w:rsidP="00D85E5B">
      <w:pPr>
        <w:spacing w:line="480" w:lineRule="auto"/>
        <w:rPr>
          <w:rFonts w:ascii="Times New Roman" w:hAnsi="Times New Roman" w:cs="Times New Roman"/>
        </w:rPr>
      </w:pPr>
      <w:proofErr w:type="spellStart"/>
      <w:r w:rsidRPr="008E19EC">
        <w:rPr>
          <w:rFonts w:ascii="Times New Roman" w:hAnsi="Times New Roman" w:cs="Times New Roman"/>
          <w:i/>
          <w:iCs/>
        </w:rPr>
        <w:t>Consequence</w:t>
      </w:r>
      <w:r w:rsidRPr="008E19EC">
        <w:rPr>
          <w:rFonts w:ascii="Times New Roman" w:hAnsi="Times New Roman" w:cs="Times New Roman"/>
          <w:i/>
          <w:iCs/>
          <w:vertAlign w:val="subscript"/>
        </w:rPr>
        <w:t>ij</w:t>
      </w:r>
      <w:proofErr w:type="spellEnd"/>
      <w:r w:rsidRPr="008E19EC">
        <w:rPr>
          <w:rFonts w:ascii="Times New Roman" w:hAnsi="Times New Roman" w:cs="Times New Roman"/>
          <w:i/>
          <w:iCs/>
          <w:vertAlign w:val="subscript"/>
        </w:rPr>
        <w:t xml:space="preserve"> </w:t>
      </w:r>
      <w:r w:rsidRPr="008E19EC">
        <w:rPr>
          <w:rFonts w:ascii="Times New Roman" w:hAnsi="Times New Roman" w:cs="Times New Roman"/>
        </w:rPr>
        <w:t xml:space="preserve">is the impact of the stressor on the individual </w:t>
      </w:r>
      <w:r>
        <w:rPr>
          <w:rFonts w:ascii="Times New Roman" w:hAnsi="Times New Roman" w:cs="Times New Roman"/>
        </w:rPr>
        <w:t>ecosystem component</w:t>
      </w:r>
      <w:r w:rsidRPr="008E19EC">
        <w:rPr>
          <w:rFonts w:ascii="Times New Roman" w:hAnsi="Times New Roman" w:cs="Times New Roman"/>
        </w:rPr>
        <w:t xml:space="preserve"> and therefore must be scored for each </w:t>
      </w:r>
      <w:r>
        <w:rPr>
          <w:rFonts w:ascii="Times New Roman" w:hAnsi="Times New Roman" w:cs="Times New Roman"/>
        </w:rPr>
        <w:t>ecosystem component</w:t>
      </w:r>
      <w:r w:rsidRPr="008E19EC">
        <w:rPr>
          <w:rFonts w:ascii="Times New Roman" w:hAnsi="Times New Roman" w:cs="Times New Roman"/>
        </w:rPr>
        <w:t xml:space="preserve"> -stressor combination. It is scored from 1 to 6 ranging from negligible to intolerable consequence and indicates the impact of the stressor on the individual </w:t>
      </w:r>
      <w:r>
        <w:rPr>
          <w:rFonts w:ascii="Times New Roman" w:hAnsi="Times New Roman" w:cs="Times New Roman"/>
        </w:rPr>
        <w:t>ecosystem component</w:t>
      </w:r>
      <w:r w:rsidRPr="008E19EC">
        <w:rPr>
          <w:rFonts w:ascii="Times New Roman" w:hAnsi="Times New Roman" w:cs="Times New Roman"/>
        </w:rPr>
        <w:t xml:space="preserve">, as described in </w:t>
      </w:r>
      <w:r>
        <w:rPr>
          <w:rFonts w:ascii="Times New Roman" w:hAnsi="Times New Roman" w:cs="Times New Roman"/>
        </w:rPr>
        <w:t xml:space="preserve">S1 </w:t>
      </w:r>
      <w:r w:rsidRPr="008E19EC">
        <w:rPr>
          <w:rFonts w:ascii="Times New Roman" w:hAnsi="Times New Roman" w:cs="Times New Roman"/>
        </w:rPr>
        <w:t xml:space="preserve">Table </w:t>
      </w:r>
      <w:r>
        <w:rPr>
          <w:rFonts w:ascii="Times New Roman" w:hAnsi="Times New Roman" w:cs="Times New Roman"/>
        </w:rPr>
        <w:t>1D</w:t>
      </w:r>
      <w:r w:rsidRPr="008E19EC">
        <w:rPr>
          <w:rFonts w:ascii="Times New Roman" w:hAnsi="Times New Roman" w:cs="Times New Roman"/>
        </w:rPr>
        <w:t xml:space="preserve">.  </w:t>
      </w:r>
      <w:proofErr w:type="spellStart"/>
      <w:r w:rsidRPr="008E19EC">
        <w:rPr>
          <w:rFonts w:ascii="Times New Roman" w:hAnsi="Times New Roman" w:cs="Times New Roman"/>
          <w:i/>
          <w:iCs/>
        </w:rPr>
        <w:t>Consequence</w:t>
      </w:r>
      <w:r w:rsidRPr="008E19EC">
        <w:rPr>
          <w:rFonts w:ascii="Times New Roman" w:hAnsi="Times New Roman" w:cs="Times New Roman"/>
          <w:i/>
          <w:iCs/>
          <w:vertAlign w:val="subscript"/>
        </w:rPr>
        <w:t>ij</w:t>
      </w:r>
      <w:proofErr w:type="spellEnd"/>
      <w:r w:rsidRPr="008E19EC">
        <w:rPr>
          <w:rFonts w:ascii="Times New Roman" w:hAnsi="Times New Roman" w:cs="Times New Roman"/>
        </w:rPr>
        <w:t xml:space="preserve"> scoring is based on the subcomponent (population size, geographic range, behaviour, etc) but most commonly </w:t>
      </w:r>
      <w:proofErr w:type="spellStart"/>
      <w:r w:rsidRPr="008E19EC">
        <w:rPr>
          <w:rFonts w:ascii="Times New Roman" w:hAnsi="Times New Roman" w:cs="Times New Roman"/>
          <w:i/>
          <w:iCs/>
        </w:rPr>
        <w:t>Consequence</w:t>
      </w:r>
      <w:r w:rsidRPr="008E19EC">
        <w:rPr>
          <w:rFonts w:ascii="Times New Roman" w:hAnsi="Times New Roman" w:cs="Times New Roman"/>
          <w:i/>
          <w:iCs/>
          <w:vertAlign w:val="subscript"/>
        </w:rPr>
        <w:t>ij</w:t>
      </w:r>
      <w:proofErr w:type="spellEnd"/>
      <w:r w:rsidRPr="008E19EC">
        <w:rPr>
          <w:rFonts w:ascii="Times New Roman" w:hAnsi="Times New Roman" w:cs="Times New Roman"/>
        </w:rPr>
        <w:t xml:space="preserve"> was scored on the population size or geographic range subcomponent.  If information was available about more than a single subcomponent, the most sensitive subcomponent was used to assign the score. In choosing the most sensitive subcomponent, consideration should be given to the subcomponent most important for long-</w:t>
      </w:r>
      <w:r w:rsidRPr="008E19EC">
        <w:rPr>
          <w:rFonts w:ascii="Times New Roman" w:hAnsi="Times New Roman" w:cs="Times New Roman"/>
        </w:rPr>
        <w:lastRenderedPageBreak/>
        <w:t xml:space="preserve">term persistence and/or the subcomponent that is the most sensitive to the stressor being scored. Uncertainty was also included for the </w:t>
      </w:r>
      <w:proofErr w:type="spellStart"/>
      <w:r w:rsidRPr="008E19EC">
        <w:rPr>
          <w:rFonts w:ascii="Times New Roman" w:hAnsi="Times New Roman" w:cs="Times New Roman"/>
          <w:i/>
          <w:iCs/>
        </w:rPr>
        <w:t>Consequence</w:t>
      </w:r>
      <w:r w:rsidRPr="008E19EC">
        <w:rPr>
          <w:rFonts w:ascii="Times New Roman" w:hAnsi="Times New Roman" w:cs="Times New Roman"/>
          <w:i/>
          <w:iCs/>
          <w:vertAlign w:val="subscript"/>
        </w:rPr>
        <w:t>ij</w:t>
      </w:r>
      <w:proofErr w:type="spellEnd"/>
      <w:r w:rsidRPr="008E19EC">
        <w:rPr>
          <w:rFonts w:ascii="Times New Roman" w:hAnsi="Times New Roman" w:cs="Times New Roman"/>
        </w:rPr>
        <w:t xml:space="preserve"> score; see </w:t>
      </w:r>
      <w:r>
        <w:rPr>
          <w:rFonts w:ascii="Times New Roman" w:hAnsi="Times New Roman" w:cs="Times New Roman"/>
        </w:rPr>
        <w:t xml:space="preserve">S1 </w:t>
      </w:r>
      <w:r w:rsidRPr="008E19EC">
        <w:rPr>
          <w:rFonts w:ascii="Times New Roman" w:hAnsi="Times New Roman" w:cs="Times New Roman"/>
        </w:rPr>
        <w:t xml:space="preserve">Table </w:t>
      </w:r>
      <w:r>
        <w:rPr>
          <w:rFonts w:ascii="Times New Roman" w:hAnsi="Times New Roman" w:cs="Times New Roman"/>
        </w:rPr>
        <w:t>2</w:t>
      </w:r>
      <w:r w:rsidRPr="008E19EC">
        <w:rPr>
          <w:rFonts w:ascii="Times New Roman" w:hAnsi="Times New Roman" w:cs="Times New Roman"/>
        </w:rPr>
        <w:t xml:space="preserve"> for uncertainty categories and scores.</w:t>
      </w:r>
    </w:p>
    <w:p w14:paraId="418C7D9B" w14:textId="77777777" w:rsidR="00D85E5B" w:rsidRPr="008E19EC" w:rsidRDefault="00D85E5B" w:rsidP="00D85E5B">
      <w:pPr>
        <w:rPr>
          <w:rFonts w:ascii="Times New Roman" w:hAnsi="Times New Roman" w:cs="Times New Roman"/>
        </w:rPr>
      </w:pPr>
    </w:p>
    <w:p w14:paraId="45BB70A2" w14:textId="77777777" w:rsidR="00D85E5B" w:rsidRPr="008E19EC" w:rsidRDefault="00D85E5B" w:rsidP="00D85E5B">
      <w:pPr>
        <w:pStyle w:val="Caption"/>
        <w:rPr>
          <w:rFonts w:ascii="Times New Roman" w:hAnsi="Times New Roman" w:cs="Times New Roman"/>
        </w:rPr>
      </w:pPr>
      <w:bookmarkStart w:id="1" w:name="_Toc382923803"/>
      <w:proofErr w:type="gramStart"/>
      <w:r>
        <w:rPr>
          <w:rFonts w:ascii="Times New Roman" w:hAnsi="Times New Roman" w:cs="Times New Roman"/>
        </w:rPr>
        <w:t xml:space="preserve">S1 </w:t>
      </w:r>
      <w:r w:rsidRPr="008E19EC">
        <w:rPr>
          <w:rFonts w:ascii="Times New Roman" w:hAnsi="Times New Roman" w:cs="Times New Roman"/>
        </w:rPr>
        <w:t>Table 1.</w:t>
      </w:r>
      <w:proofErr w:type="gramEnd"/>
      <w:r w:rsidRPr="008E19EC">
        <w:rPr>
          <w:rFonts w:ascii="Times New Roman" w:hAnsi="Times New Roman" w:cs="Times New Roman"/>
        </w:rPr>
        <w:t xml:space="preserve"> Scoring of</w:t>
      </w:r>
      <w:r w:rsidRPr="008E19EC">
        <w:rPr>
          <w:rFonts w:ascii="Times New Roman" w:hAnsi="Times New Roman" w:cs="Times New Roman"/>
          <w:i/>
          <w:iCs/>
        </w:rPr>
        <w:t xml:space="preserve"> </w:t>
      </w:r>
      <w:proofErr w:type="spellStart"/>
      <w:r w:rsidRPr="008E19EC">
        <w:rPr>
          <w:rFonts w:ascii="Times New Roman" w:hAnsi="Times New Roman" w:cs="Times New Roman"/>
          <w:i/>
          <w:iCs/>
        </w:rPr>
        <w:t>Exposure</w:t>
      </w:r>
      <w:r w:rsidRPr="008E19EC">
        <w:rPr>
          <w:rFonts w:ascii="Times New Roman" w:hAnsi="Times New Roman" w:cs="Times New Roman"/>
          <w:i/>
          <w:iCs/>
          <w:vertAlign w:val="subscript"/>
        </w:rPr>
        <w:t>i</w:t>
      </w:r>
      <w:proofErr w:type="spellEnd"/>
      <w:r w:rsidRPr="008E19EC">
        <w:rPr>
          <w:rFonts w:ascii="Times New Roman" w:hAnsi="Times New Roman" w:cs="Times New Roman"/>
        </w:rPr>
        <w:t xml:space="preserve"> variables: a) Spatial Scale, b) Temporal Scale, c) Load and d) </w:t>
      </w:r>
      <w:proofErr w:type="spellStart"/>
      <w:r w:rsidRPr="008E19EC">
        <w:rPr>
          <w:rFonts w:ascii="Times New Roman" w:hAnsi="Times New Roman" w:cs="Times New Roman"/>
          <w:i/>
          <w:iCs/>
        </w:rPr>
        <w:t>Consequence</w:t>
      </w:r>
      <w:r w:rsidRPr="008E19EC">
        <w:rPr>
          <w:rFonts w:ascii="Times New Roman" w:hAnsi="Times New Roman" w:cs="Times New Roman"/>
          <w:i/>
          <w:iCs/>
          <w:vertAlign w:val="subscript"/>
        </w:rPr>
        <w:t>ij</w:t>
      </w:r>
      <w:bookmarkEnd w:id="1"/>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2383"/>
        <w:gridCol w:w="6443"/>
      </w:tblGrid>
      <w:tr w:rsidR="00D85E5B" w:rsidRPr="008E19EC" w14:paraId="2ED9C9F8" w14:textId="77777777" w:rsidTr="00C2159F">
        <w:tc>
          <w:tcPr>
            <w:tcW w:w="5000" w:type="pct"/>
            <w:gridSpan w:val="3"/>
            <w:shd w:val="clear" w:color="auto" w:fill="BFBFBF"/>
          </w:tcPr>
          <w:p w14:paraId="42DCE213" w14:textId="77777777" w:rsidR="00D85E5B" w:rsidRPr="008E19EC" w:rsidRDefault="00D85E5B" w:rsidP="00C2159F">
            <w:pPr>
              <w:rPr>
                <w:rFonts w:ascii="Times New Roman" w:hAnsi="Times New Roman" w:cs="Times New Roman"/>
                <w:b/>
                <w:bCs/>
                <w:i/>
                <w:iCs/>
                <w:sz w:val="20"/>
                <w:szCs w:val="20"/>
              </w:rPr>
            </w:pPr>
            <w:r w:rsidRPr="008E19EC">
              <w:rPr>
                <w:rFonts w:ascii="Times New Roman" w:hAnsi="Times New Roman" w:cs="Times New Roman"/>
                <w:b/>
                <w:bCs/>
                <w:sz w:val="20"/>
                <w:szCs w:val="20"/>
              </w:rPr>
              <w:t>(a)</w:t>
            </w:r>
            <w:r w:rsidRPr="008E19EC">
              <w:rPr>
                <w:rFonts w:ascii="Times New Roman" w:hAnsi="Times New Roman" w:cs="Times New Roman"/>
                <w:b/>
                <w:bCs/>
                <w:i/>
                <w:iCs/>
                <w:sz w:val="20"/>
                <w:szCs w:val="20"/>
              </w:rPr>
              <w:t xml:space="preserve"> Temporal Frequency Scale</w:t>
            </w:r>
          </w:p>
        </w:tc>
      </w:tr>
      <w:tr w:rsidR="00D85E5B" w:rsidRPr="008E19EC" w14:paraId="5305C73C" w14:textId="77777777" w:rsidTr="00C2159F">
        <w:tc>
          <w:tcPr>
            <w:tcW w:w="392" w:type="pct"/>
          </w:tcPr>
          <w:p w14:paraId="74260B7A"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b/>
                <w:bCs/>
                <w:sz w:val="20"/>
                <w:szCs w:val="20"/>
              </w:rPr>
              <w:t>Score</w:t>
            </w:r>
          </w:p>
        </w:tc>
        <w:tc>
          <w:tcPr>
            <w:tcW w:w="1244" w:type="pct"/>
          </w:tcPr>
          <w:p w14:paraId="72934619"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b/>
                <w:bCs/>
                <w:sz w:val="20"/>
                <w:szCs w:val="20"/>
              </w:rPr>
              <w:t>Effect</w:t>
            </w:r>
          </w:p>
        </w:tc>
        <w:tc>
          <w:tcPr>
            <w:tcW w:w="3364" w:type="pct"/>
          </w:tcPr>
          <w:p w14:paraId="16F513D0"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b/>
                <w:bCs/>
                <w:sz w:val="20"/>
                <w:szCs w:val="20"/>
              </w:rPr>
              <w:t>Definition</w:t>
            </w:r>
          </w:p>
        </w:tc>
      </w:tr>
      <w:tr w:rsidR="00D85E5B" w:rsidRPr="008E19EC" w14:paraId="5B0678C4" w14:textId="77777777" w:rsidTr="00C2159F">
        <w:tc>
          <w:tcPr>
            <w:tcW w:w="392" w:type="pct"/>
          </w:tcPr>
          <w:p w14:paraId="1FB93D3D"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1</w:t>
            </w:r>
          </w:p>
        </w:tc>
        <w:tc>
          <w:tcPr>
            <w:tcW w:w="1244" w:type="pct"/>
          </w:tcPr>
          <w:p w14:paraId="206F0AFA"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Rare</w:t>
            </w:r>
          </w:p>
        </w:tc>
        <w:tc>
          <w:tcPr>
            <w:tcW w:w="3364" w:type="pct"/>
          </w:tcPr>
          <w:p w14:paraId="5F04ED0A"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Every several years – Decadal</w:t>
            </w:r>
          </w:p>
        </w:tc>
      </w:tr>
      <w:tr w:rsidR="00D85E5B" w:rsidRPr="008E19EC" w14:paraId="190D1D7B" w14:textId="77777777" w:rsidTr="00C2159F">
        <w:tc>
          <w:tcPr>
            <w:tcW w:w="392" w:type="pct"/>
          </w:tcPr>
          <w:p w14:paraId="2253D2C5"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2</w:t>
            </w:r>
          </w:p>
        </w:tc>
        <w:tc>
          <w:tcPr>
            <w:tcW w:w="1244" w:type="pct"/>
          </w:tcPr>
          <w:p w14:paraId="04C981B3"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Relatively Often</w:t>
            </w:r>
          </w:p>
        </w:tc>
        <w:tc>
          <w:tcPr>
            <w:tcW w:w="3364" w:type="pct"/>
          </w:tcPr>
          <w:p w14:paraId="418150FF"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Quarterly – Annually</w:t>
            </w:r>
          </w:p>
        </w:tc>
      </w:tr>
      <w:tr w:rsidR="00D85E5B" w:rsidRPr="008E19EC" w14:paraId="0F3B418B" w14:textId="77777777" w:rsidTr="00C2159F">
        <w:tc>
          <w:tcPr>
            <w:tcW w:w="392" w:type="pct"/>
          </w:tcPr>
          <w:p w14:paraId="2730BF2B"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3</w:t>
            </w:r>
          </w:p>
        </w:tc>
        <w:tc>
          <w:tcPr>
            <w:tcW w:w="1244" w:type="pct"/>
          </w:tcPr>
          <w:p w14:paraId="1422930A"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Frequent</w:t>
            </w:r>
          </w:p>
        </w:tc>
        <w:tc>
          <w:tcPr>
            <w:tcW w:w="3364" w:type="pct"/>
          </w:tcPr>
          <w:p w14:paraId="0D6FA5E0"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Weekly – Monthly</w:t>
            </w:r>
          </w:p>
        </w:tc>
      </w:tr>
      <w:tr w:rsidR="00D85E5B" w:rsidRPr="008E19EC" w14:paraId="049C191D" w14:textId="77777777" w:rsidTr="00C2159F">
        <w:tc>
          <w:tcPr>
            <w:tcW w:w="392" w:type="pct"/>
          </w:tcPr>
          <w:p w14:paraId="6F4E29B1"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4</w:t>
            </w:r>
          </w:p>
        </w:tc>
        <w:tc>
          <w:tcPr>
            <w:tcW w:w="1244" w:type="pct"/>
          </w:tcPr>
          <w:p w14:paraId="24A24DFC"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Continuous</w:t>
            </w:r>
          </w:p>
        </w:tc>
        <w:tc>
          <w:tcPr>
            <w:tcW w:w="3364" w:type="pct"/>
          </w:tcPr>
          <w:p w14:paraId="01967892"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Daily occurrences or continuous</w:t>
            </w:r>
          </w:p>
        </w:tc>
      </w:tr>
    </w:tbl>
    <w:p w14:paraId="737C171E" w14:textId="77777777" w:rsidR="00D85E5B" w:rsidRPr="008E19EC" w:rsidRDefault="00D85E5B" w:rsidP="00D85E5B">
      <w:pPr>
        <w:rPr>
          <w:rFonts w:ascii="Times New Roman" w:hAnsi="Times New Roman" w:cs="Times New Roman"/>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2383"/>
        <w:gridCol w:w="6443"/>
      </w:tblGrid>
      <w:tr w:rsidR="00D85E5B" w:rsidRPr="008E19EC" w14:paraId="7C5123D7" w14:textId="77777777" w:rsidTr="00C2159F">
        <w:trPr>
          <w:jc w:val="center"/>
        </w:trPr>
        <w:tc>
          <w:tcPr>
            <w:tcW w:w="5000" w:type="pct"/>
            <w:gridSpan w:val="3"/>
            <w:shd w:val="clear" w:color="auto" w:fill="BFBFBF"/>
          </w:tcPr>
          <w:p w14:paraId="7A8FDE54" w14:textId="77777777" w:rsidR="00D85E5B" w:rsidRPr="008E19EC" w:rsidRDefault="00D85E5B" w:rsidP="00C2159F">
            <w:pPr>
              <w:rPr>
                <w:rFonts w:ascii="Times New Roman" w:hAnsi="Times New Roman" w:cs="Times New Roman"/>
                <w:b/>
                <w:bCs/>
                <w:i/>
                <w:iCs/>
                <w:sz w:val="20"/>
                <w:szCs w:val="20"/>
              </w:rPr>
            </w:pPr>
            <w:r w:rsidRPr="008E19EC">
              <w:rPr>
                <w:rFonts w:ascii="Times New Roman" w:hAnsi="Times New Roman" w:cs="Times New Roman"/>
                <w:b/>
                <w:bCs/>
                <w:sz w:val="20"/>
                <w:szCs w:val="20"/>
              </w:rPr>
              <w:t>(b)</w:t>
            </w:r>
            <w:r w:rsidRPr="008E19EC">
              <w:rPr>
                <w:rFonts w:ascii="Times New Roman" w:hAnsi="Times New Roman" w:cs="Times New Roman"/>
                <w:b/>
                <w:bCs/>
                <w:i/>
                <w:iCs/>
                <w:sz w:val="20"/>
                <w:szCs w:val="20"/>
              </w:rPr>
              <w:t xml:space="preserve"> Spatial Scale</w:t>
            </w:r>
          </w:p>
        </w:tc>
      </w:tr>
      <w:tr w:rsidR="00D85E5B" w:rsidRPr="008E19EC" w14:paraId="5A105481" w14:textId="77777777" w:rsidTr="00C2159F">
        <w:trPr>
          <w:jc w:val="center"/>
        </w:trPr>
        <w:tc>
          <w:tcPr>
            <w:tcW w:w="392" w:type="pct"/>
          </w:tcPr>
          <w:p w14:paraId="4FD8DB87"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b/>
                <w:bCs/>
                <w:sz w:val="20"/>
                <w:szCs w:val="20"/>
              </w:rPr>
              <w:t>Score</w:t>
            </w:r>
          </w:p>
        </w:tc>
        <w:tc>
          <w:tcPr>
            <w:tcW w:w="1244" w:type="pct"/>
          </w:tcPr>
          <w:p w14:paraId="4D6A9D96"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b/>
                <w:bCs/>
                <w:sz w:val="20"/>
                <w:szCs w:val="20"/>
              </w:rPr>
              <w:t>Effect</w:t>
            </w:r>
          </w:p>
        </w:tc>
        <w:tc>
          <w:tcPr>
            <w:tcW w:w="3364" w:type="pct"/>
          </w:tcPr>
          <w:p w14:paraId="0E2C71A4" w14:textId="77777777" w:rsidR="00D85E5B" w:rsidRPr="008E19EC" w:rsidRDefault="00D85E5B" w:rsidP="00C2159F">
            <w:pPr>
              <w:tabs>
                <w:tab w:val="left" w:pos="3680"/>
              </w:tabs>
              <w:rPr>
                <w:rFonts w:ascii="Times New Roman" w:hAnsi="Times New Roman" w:cs="Times New Roman"/>
                <w:sz w:val="20"/>
                <w:szCs w:val="20"/>
              </w:rPr>
            </w:pPr>
            <w:r w:rsidRPr="008E19EC">
              <w:rPr>
                <w:rFonts w:ascii="Times New Roman" w:hAnsi="Times New Roman" w:cs="Times New Roman"/>
                <w:b/>
                <w:bCs/>
                <w:sz w:val="20"/>
                <w:szCs w:val="20"/>
              </w:rPr>
              <w:t>Definition</w:t>
            </w:r>
          </w:p>
        </w:tc>
      </w:tr>
      <w:tr w:rsidR="00D85E5B" w:rsidRPr="008E19EC" w14:paraId="39FF9C58" w14:textId="77777777" w:rsidTr="00C2159F">
        <w:trPr>
          <w:jc w:val="center"/>
        </w:trPr>
        <w:tc>
          <w:tcPr>
            <w:tcW w:w="392" w:type="pct"/>
          </w:tcPr>
          <w:p w14:paraId="3F86ADFB"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1</w:t>
            </w:r>
          </w:p>
        </w:tc>
        <w:tc>
          <w:tcPr>
            <w:tcW w:w="1244" w:type="pct"/>
          </w:tcPr>
          <w:p w14:paraId="2CCD5D36"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Few restricted locations</w:t>
            </w:r>
          </w:p>
        </w:tc>
        <w:tc>
          <w:tcPr>
            <w:tcW w:w="3364" w:type="pct"/>
          </w:tcPr>
          <w:p w14:paraId="5D7DB117" w14:textId="77777777" w:rsidR="00D85E5B" w:rsidRPr="008E19EC" w:rsidRDefault="00D85E5B" w:rsidP="00C2159F">
            <w:pPr>
              <w:tabs>
                <w:tab w:val="left" w:pos="3680"/>
              </w:tabs>
              <w:rPr>
                <w:rFonts w:ascii="Times New Roman" w:hAnsi="Times New Roman" w:cs="Times New Roman"/>
                <w:sz w:val="20"/>
                <w:szCs w:val="20"/>
              </w:rPr>
            </w:pPr>
            <w:r w:rsidRPr="008E19EC">
              <w:rPr>
                <w:rFonts w:ascii="Times New Roman" w:hAnsi="Times New Roman" w:cs="Times New Roman"/>
                <w:sz w:val="20"/>
                <w:szCs w:val="20"/>
              </w:rPr>
              <w:t>1-10 kilometres</w:t>
            </w:r>
          </w:p>
        </w:tc>
      </w:tr>
      <w:tr w:rsidR="00D85E5B" w:rsidRPr="008E19EC" w14:paraId="5646D42A" w14:textId="77777777" w:rsidTr="00C2159F">
        <w:trPr>
          <w:jc w:val="center"/>
        </w:trPr>
        <w:tc>
          <w:tcPr>
            <w:tcW w:w="392" w:type="pct"/>
          </w:tcPr>
          <w:p w14:paraId="1E1D9F68"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2</w:t>
            </w:r>
          </w:p>
        </w:tc>
        <w:tc>
          <w:tcPr>
            <w:tcW w:w="1244" w:type="pct"/>
          </w:tcPr>
          <w:p w14:paraId="71791E89"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Localized</w:t>
            </w:r>
          </w:p>
        </w:tc>
        <w:tc>
          <w:tcPr>
            <w:tcW w:w="3364" w:type="pct"/>
          </w:tcPr>
          <w:p w14:paraId="4E957218"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10-100 kilometres</w:t>
            </w:r>
          </w:p>
        </w:tc>
      </w:tr>
      <w:tr w:rsidR="00D85E5B" w:rsidRPr="008E19EC" w14:paraId="6DF08F0F" w14:textId="77777777" w:rsidTr="00C2159F">
        <w:trPr>
          <w:jc w:val="center"/>
        </w:trPr>
        <w:tc>
          <w:tcPr>
            <w:tcW w:w="392" w:type="pct"/>
          </w:tcPr>
          <w:p w14:paraId="76463A1A"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3</w:t>
            </w:r>
          </w:p>
        </w:tc>
        <w:tc>
          <w:tcPr>
            <w:tcW w:w="1244" w:type="pct"/>
          </w:tcPr>
          <w:p w14:paraId="7F2FF865"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Widespread</w:t>
            </w:r>
          </w:p>
        </w:tc>
        <w:tc>
          <w:tcPr>
            <w:tcW w:w="3364" w:type="pct"/>
          </w:tcPr>
          <w:p w14:paraId="6E592BC1"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&gt;100 kilometres</w:t>
            </w:r>
          </w:p>
        </w:tc>
      </w:tr>
    </w:tbl>
    <w:p w14:paraId="40AD2DB5" w14:textId="77777777" w:rsidR="00D85E5B" w:rsidRPr="008E19EC" w:rsidRDefault="00D85E5B" w:rsidP="00D85E5B">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2383"/>
        <w:gridCol w:w="6443"/>
      </w:tblGrid>
      <w:tr w:rsidR="00D85E5B" w:rsidRPr="008E19EC" w14:paraId="1BAB3016" w14:textId="77777777" w:rsidTr="00C2159F">
        <w:trPr>
          <w:jc w:val="center"/>
        </w:trPr>
        <w:tc>
          <w:tcPr>
            <w:tcW w:w="5000" w:type="pct"/>
            <w:gridSpan w:val="3"/>
            <w:shd w:val="clear" w:color="auto" w:fill="BFBFBF"/>
          </w:tcPr>
          <w:p w14:paraId="4EBF4AF3" w14:textId="77777777" w:rsidR="00D85E5B" w:rsidRPr="008E19EC" w:rsidRDefault="00D85E5B" w:rsidP="00C2159F">
            <w:pPr>
              <w:rPr>
                <w:rFonts w:ascii="Times New Roman" w:hAnsi="Times New Roman" w:cs="Times New Roman"/>
                <w:b/>
                <w:bCs/>
                <w:i/>
                <w:iCs/>
                <w:sz w:val="20"/>
                <w:szCs w:val="20"/>
              </w:rPr>
            </w:pPr>
            <w:r w:rsidRPr="008E19EC">
              <w:rPr>
                <w:rFonts w:ascii="Times New Roman" w:hAnsi="Times New Roman" w:cs="Times New Roman"/>
                <w:b/>
                <w:bCs/>
                <w:sz w:val="20"/>
                <w:szCs w:val="20"/>
              </w:rPr>
              <w:t>(c)</w:t>
            </w:r>
            <w:r w:rsidRPr="008E19EC">
              <w:rPr>
                <w:rFonts w:ascii="Times New Roman" w:hAnsi="Times New Roman" w:cs="Times New Roman"/>
                <w:b/>
                <w:bCs/>
                <w:i/>
                <w:iCs/>
                <w:sz w:val="20"/>
                <w:szCs w:val="20"/>
              </w:rPr>
              <w:t xml:space="preserve"> Load – Density/Persistence</w:t>
            </w:r>
          </w:p>
        </w:tc>
      </w:tr>
      <w:tr w:rsidR="00D85E5B" w:rsidRPr="008E19EC" w14:paraId="27B46345" w14:textId="77777777" w:rsidTr="00C2159F">
        <w:trPr>
          <w:jc w:val="center"/>
        </w:trPr>
        <w:tc>
          <w:tcPr>
            <w:tcW w:w="392" w:type="pct"/>
          </w:tcPr>
          <w:p w14:paraId="11606D60"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b/>
                <w:bCs/>
                <w:sz w:val="20"/>
                <w:szCs w:val="20"/>
              </w:rPr>
              <w:t>Score</w:t>
            </w:r>
          </w:p>
        </w:tc>
        <w:tc>
          <w:tcPr>
            <w:tcW w:w="1244" w:type="pct"/>
          </w:tcPr>
          <w:p w14:paraId="3B50A3E3"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b/>
                <w:bCs/>
                <w:sz w:val="20"/>
                <w:szCs w:val="20"/>
              </w:rPr>
              <w:t>Effect</w:t>
            </w:r>
          </w:p>
        </w:tc>
        <w:tc>
          <w:tcPr>
            <w:tcW w:w="3364" w:type="pct"/>
          </w:tcPr>
          <w:p w14:paraId="1FAC1528" w14:textId="77777777" w:rsidR="00D85E5B" w:rsidRPr="008E19EC" w:rsidRDefault="00D85E5B" w:rsidP="00C2159F">
            <w:pPr>
              <w:tabs>
                <w:tab w:val="left" w:pos="3680"/>
              </w:tabs>
              <w:rPr>
                <w:rFonts w:ascii="Times New Roman" w:hAnsi="Times New Roman" w:cs="Times New Roman"/>
                <w:sz w:val="20"/>
                <w:szCs w:val="20"/>
              </w:rPr>
            </w:pPr>
            <w:r w:rsidRPr="008E19EC">
              <w:rPr>
                <w:rFonts w:ascii="Times New Roman" w:hAnsi="Times New Roman" w:cs="Times New Roman"/>
                <w:b/>
                <w:bCs/>
                <w:sz w:val="20"/>
                <w:szCs w:val="20"/>
              </w:rPr>
              <w:t>Definition</w:t>
            </w:r>
          </w:p>
        </w:tc>
      </w:tr>
      <w:tr w:rsidR="00D85E5B" w:rsidRPr="008E19EC" w14:paraId="47887067" w14:textId="77777777" w:rsidTr="00C2159F">
        <w:trPr>
          <w:jc w:val="center"/>
        </w:trPr>
        <w:tc>
          <w:tcPr>
            <w:tcW w:w="392" w:type="pct"/>
          </w:tcPr>
          <w:p w14:paraId="4E510956"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1</w:t>
            </w:r>
          </w:p>
        </w:tc>
        <w:tc>
          <w:tcPr>
            <w:tcW w:w="1244" w:type="pct"/>
          </w:tcPr>
          <w:p w14:paraId="15DFF5B9"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Low</w:t>
            </w:r>
          </w:p>
        </w:tc>
        <w:tc>
          <w:tcPr>
            <w:tcW w:w="3364" w:type="pct"/>
          </w:tcPr>
          <w:p w14:paraId="4BE266A4" w14:textId="77777777" w:rsidR="00D85E5B" w:rsidRPr="008E19EC" w:rsidRDefault="00D85E5B" w:rsidP="00C2159F">
            <w:pPr>
              <w:tabs>
                <w:tab w:val="left" w:pos="3680"/>
              </w:tabs>
              <w:rPr>
                <w:rFonts w:ascii="Times New Roman" w:hAnsi="Times New Roman" w:cs="Times New Roman"/>
                <w:sz w:val="20"/>
                <w:szCs w:val="20"/>
              </w:rPr>
            </w:pPr>
            <w:r w:rsidRPr="008E19EC">
              <w:rPr>
                <w:rFonts w:ascii="Times New Roman" w:hAnsi="Times New Roman" w:cs="Times New Roman"/>
                <w:sz w:val="20"/>
                <w:szCs w:val="20"/>
              </w:rPr>
              <w:t>Low density and low persistence</w:t>
            </w:r>
          </w:p>
        </w:tc>
      </w:tr>
      <w:tr w:rsidR="00D85E5B" w:rsidRPr="008E19EC" w14:paraId="4CED72CF" w14:textId="77777777" w:rsidTr="00C2159F">
        <w:trPr>
          <w:jc w:val="center"/>
        </w:trPr>
        <w:tc>
          <w:tcPr>
            <w:tcW w:w="392" w:type="pct"/>
          </w:tcPr>
          <w:p w14:paraId="584CFC8D"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2</w:t>
            </w:r>
          </w:p>
        </w:tc>
        <w:tc>
          <w:tcPr>
            <w:tcW w:w="1244" w:type="pct"/>
          </w:tcPr>
          <w:p w14:paraId="1C81A4F6"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Moderate</w:t>
            </w:r>
          </w:p>
        </w:tc>
        <w:tc>
          <w:tcPr>
            <w:tcW w:w="3364" w:type="pct"/>
          </w:tcPr>
          <w:p w14:paraId="34A22EE2"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High density or persistence</w:t>
            </w:r>
          </w:p>
        </w:tc>
      </w:tr>
      <w:tr w:rsidR="00D85E5B" w:rsidRPr="008E19EC" w14:paraId="3EACB609" w14:textId="77777777" w:rsidTr="00C2159F">
        <w:trPr>
          <w:jc w:val="center"/>
        </w:trPr>
        <w:tc>
          <w:tcPr>
            <w:tcW w:w="392" w:type="pct"/>
          </w:tcPr>
          <w:p w14:paraId="4C5A5FD1"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3</w:t>
            </w:r>
          </w:p>
        </w:tc>
        <w:tc>
          <w:tcPr>
            <w:tcW w:w="1244" w:type="pct"/>
          </w:tcPr>
          <w:p w14:paraId="421AAEFD"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High</w:t>
            </w:r>
          </w:p>
        </w:tc>
        <w:tc>
          <w:tcPr>
            <w:tcW w:w="3364" w:type="pct"/>
          </w:tcPr>
          <w:p w14:paraId="14B8067D"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High density and persistence</w:t>
            </w:r>
          </w:p>
          <w:p w14:paraId="72DDB66F" w14:textId="77777777" w:rsidR="00D85E5B" w:rsidRPr="008E19EC" w:rsidRDefault="00D85E5B" w:rsidP="00C2159F">
            <w:pPr>
              <w:rPr>
                <w:rFonts w:ascii="Times New Roman" w:hAnsi="Times New Roman" w:cs="Times New Roman"/>
                <w:sz w:val="20"/>
                <w:szCs w:val="20"/>
              </w:rPr>
            </w:pPr>
          </w:p>
        </w:tc>
      </w:tr>
    </w:tbl>
    <w:p w14:paraId="02D05EE6" w14:textId="77777777" w:rsidR="00D85E5B" w:rsidRPr="008E19EC" w:rsidRDefault="00D85E5B" w:rsidP="00D85E5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1760"/>
        <w:gridCol w:w="7067"/>
      </w:tblGrid>
      <w:tr w:rsidR="00C729CD" w:rsidRPr="008E19EC" w14:paraId="29C603BF" w14:textId="77777777" w:rsidTr="00706C06">
        <w:tc>
          <w:tcPr>
            <w:tcW w:w="5000" w:type="pct"/>
            <w:gridSpan w:val="3"/>
            <w:shd w:val="clear" w:color="auto" w:fill="BFBFBF"/>
          </w:tcPr>
          <w:p w14:paraId="0ED5590D" w14:textId="77777777" w:rsidR="00C729CD" w:rsidRPr="008E19EC" w:rsidRDefault="00C729CD" w:rsidP="00706C06">
            <w:pPr>
              <w:rPr>
                <w:rFonts w:ascii="Times New Roman" w:hAnsi="Times New Roman" w:cs="Times New Roman"/>
                <w:b/>
                <w:bCs/>
                <w:i/>
                <w:iCs/>
                <w:sz w:val="20"/>
                <w:szCs w:val="20"/>
              </w:rPr>
            </w:pPr>
            <w:r w:rsidRPr="008E19EC">
              <w:rPr>
                <w:rFonts w:ascii="Times New Roman" w:hAnsi="Times New Roman" w:cs="Times New Roman"/>
                <w:b/>
                <w:bCs/>
                <w:sz w:val="20"/>
                <w:szCs w:val="20"/>
              </w:rPr>
              <w:t>(d)</w:t>
            </w:r>
            <w:r w:rsidRPr="008E19EC">
              <w:rPr>
                <w:rFonts w:ascii="Times New Roman" w:hAnsi="Times New Roman" w:cs="Times New Roman"/>
                <w:b/>
                <w:bCs/>
                <w:i/>
                <w:iCs/>
                <w:sz w:val="20"/>
                <w:szCs w:val="20"/>
              </w:rPr>
              <w:t xml:space="preserve"> Consequence</w:t>
            </w:r>
          </w:p>
        </w:tc>
      </w:tr>
      <w:tr w:rsidR="00C729CD" w:rsidRPr="008E19EC" w14:paraId="130BFEA7" w14:textId="77777777" w:rsidTr="00706C06">
        <w:tc>
          <w:tcPr>
            <w:tcW w:w="391" w:type="pct"/>
          </w:tcPr>
          <w:p w14:paraId="2C8A6D76" w14:textId="77777777" w:rsidR="00C729CD" w:rsidRPr="008E19EC" w:rsidRDefault="00C729CD" w:rsidP="00706C06">
            <w:pPr>
              <w:jc w:val="center"/>
              <w:rPr>
                <w:rFonts w:ascii="Times New Roman" w:hAnsi="Times New Roman" w:cs="Times New Roman"/>
                <w:b/>
                <w:bCs/>
                <w:sz w:val="20"/>
                <w:szCs w:val="20"/>
              </w:rPr>
            </w:pPr>
            <w:r w:rsidRPr="008E19EC">
              <w:rPr>
                <w:rFonts w:ascii="Times New Roman" w:hAnsi="Times New Roman" w:cs="Times New Roman"/>
                <w:b/>
                <w:bCs/>
                <w:sz w:val="20"/>
                <w:szCs w:val="20"/>
              </w:rPr>
              <w:t>Score</w:t>
            </w:r>
          </w:p>
        </w:tc>
        <w:tc>
          <w:tcPr>
            <w:tcW w:w="919" w:type="pct"/>
          </w:tcPr>
          <w:p w14:paraId="55960EC0" w14:textId="77777777" w:rsidR="00C729CD" w:rsidRPr="008E19EC" w:rsidRDefault="00C729CD" w:rsidP="00706C06">
            <w:pPr>
              <w:rPr>
                <w:rFonts w:ascii="Times New Roman" w:hAnsi="Times New Roman" w:cs="Times New Roman"/>
                <w:b/>
                <w:bCs/>
                <w:sz w:val="20"/>
                <w:szCs w:val="20"/>
              </w:rPr>
            </w:pPr>
            <w:r w:rsidRPr="008E19EC">
              <w:rPr>
                <w:rFonts w:ascii="Times New Roman" w:hAnsi="Times New Roman" w:cs="Times New Roman"/>
                <w:b/>
                <w:bCs/>
                <w:sz w:val="20"/>
                <w:szCs w:val="20"/>
              </w:rPr>
              <w:t>Effect</w:t>
            </w:r>
          </w:p>
        </w:tc>
        <w:tc>
          <w:tcPr>
            <w:tcW w:w="3690" w:type="pct"/>
          </w:tcPr>
          <w:p w14:paraId="78C0AF24" w14:textId="77777777" w:rsidR="00C729CD" w:rsidRPr="008E19EC" w:rsidRDefault="00C729CD" w:rsidP="00706C06">
            <w:pPr>
              <w:rPr>
                <w:rFonts w:ascii="Times New Roman" w:hAnsi="Times New Roman" w:cs="Times New Roman"/>
                <w:b/>
                <w:bCs/>
                <w:sz w:val="20"/>
                <w:szCs w:val="20"/>
              </w:rPr>
            </w:pPr>
            <w:r w:rsidRPr="008E19EC">
              <w:rPr>
                <w:rFonts w:ascii="Times New Roman" w:hAnsi="Times New Roman" w:cs="Times New Roman"/>
                <w:b/>
                <w:bCs/>
                <w:sz w:val="20"/>
                <w:szCs w:val="20"/>
              </w:rPr>
              <w:t>Definition</w:t>
            </w:r>
          </w:p>
        </w:tc>
      </w:tr>
      <w:tr w:rsidR="00C729CD" w:rsidRPr="005F080F" w14:paraId="1E667BD9" w14:textId="77777777" w:rsidTr="00706C06">
        <w:tc>
          <w:tcPr>
            <w:tcW w:w="391" w:type="pct"/>
          </w:tcPr>
          <w:p w14:paraId="4E3508D6" w14:textId="77777777" w:rsidR="00C729CD" w:rsidRPr="008E19EC" w:rsidRDefault="00C729CD" w:rsidP="00706C06">
            <w:pPr>
              <w:jc w:val="center"/>
              <w:rPr>
                <w:rFonts w:ascii="Times New Roman" w:hAnsi="Times New Roman" w:cs="Times New Roman"/>
                <w:sz w:val="20"/>
                <w:szCs w:val="20"/>
              </w:rPr>
            </w:pPr>
            <w:r w:rsidRPr="008E19EC">
              <w:rPr>
                <w:rFonts w:ascii="Times New Roman" w:hAnsi="Times New Roman" w:cs="Times New Roman"/>
                <w:sz w:val="20"/>
                <w:szCs w:val="20"/>
              </w:rPr>
              <w:t>1</w:t>
            </w:r>
          </w:p>
        </w:tc>
        <w:tc>
          <w:tcPr>
            <w:tcW w:w="919" w:type="pct"/>
          </w:tcPr>
          <w:p w14:paraId="63A0CE1C"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Negligible</w:t>
            </w:r>
          </w:p>
        </w:tc>
        <w:tc>
          <w:tcPr>
            <w:tcW w:w="3690" w:type="pct"/>
          </w:tcPr>
          <w:p w14:paraId="2B0FF63E" w14:textId="77777777" w:rsidR="00C729CD" w:rsidRPr="005F080F" w:rsidRDefault="00C729CD" w:rsidP="00706C06">
            <w:pPr>
              <w:rPr>
                <w:rFonts w:ascii="Times New Roman" w:hAnsi="Times New Roman"/>
                <w:sz w:val="20"/>
              </w:rPr>
            </w:pPr>
            <w:r w:rsidRPr="005F080F">
              <w:rPr>
                <w:rFonts w:ascii="Times New Roman" w:hAnsi="Times New Roman"/>
                <w:sz w:val="20"/>
              </w:rPr>
              <w:t>Negligible impact on population/habitat/community</w:t>
            </w:r>
          </w:p>
        </w:tc>
      </w:tr>
      <w:tr w:rsidR="00C729CD" w:rsidRPr="008E19EC" w14:paraId="21EEF699" w14:textId="77777777" w:rsidTr="00706C06">
        <w:tc>
          <w:tcPr>
            <w:tcW w:w="391" w:type="pct"/>
          </w:tcPr>
          <w:p w14:paraId="5CA9E6B5" w14:textId="77777777" w:rsidR="00C729CD" w:rsidRPr="008E19EC" w:rsidRDefault="00C729CD" w:rsidP="00706C06">
            <w:pPr>
              <w:jc w:val="center"/>
              <w:rPr>
                <w:rFonts w:ascii="Times New Roman" w:hAnsi="Times New Roman" w:cs="Times New Roman"/>
                <w:sz w:val="20"/>
                <w:szCs w:val="20"/>
              </w:rPr>
            </w:pPr>
            <w:r w:rsidRPr="008E19EC">
              <w:rPr>
                <w:rFonts w:ascii="Times New Roman" w:hAnsi="Times New Roman" w:cs="Times New Roman"/>
                <w:sz w:val="20"/>
                <w:szCs w:val="20"/>
              </w:rPr>
              <w:t>2</w:t>
            </w:r>
          </w:p>
        </w:tc>
        <w:tc>
          <w:tcPr>
            <w:tcW w:w="919" w:type="pct"/>
          </w:tcPr>
          <w:p w14:paraId="7D049467"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Minor</w:t>
            </w:r>
          </w:p>
        </w:tc>
        <w:tc>
          <w:tcPr>
            <w:tcW w:w="3690" w:type="pct"/>
          </w:tcPr>
          <w:p w14:paraId="33BE2DC7"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Minimal impact on population/habitat/ community structure or dynamics</w:t>
            </w:r>
          </w:p>
        </w:tc>
      </w:tr>
      <w:tr w:rsidR="00C729CD" w:rsidRPr="008E19EC" w14:paraId="5EE4F7DE" w14:textId="77777777" w:rsidTr="00706C06">
        <w:tc>
          <w:tcPr>
            <w:tcW w:w="391" w:type="pct"/>
          </w:tcPr>
          <w:p w14:paraId="6777141C" w14:textId="77777777" w:rsidR="00C729CD" w:rsidRPr="008E19EC" w:rsidRDefault="00C729CD" w:rsidP="00706C06">
            <w:pPr>
              <w:jc w:val="center"/>
              <w:rPr>
                <w:rFonts w:ascii="Times New Roman" w:hAnsi="Times New Roman" w:cs="Times New Roman"/>
                <w:sz w:val="20"/>
                <w:szCs w:val="20"/>
              </w:rPr>
            </w:pPr>
            <w:r w:rsidRPr="008E19EC">
              <w:rPr>
                <w:rFonts w:ascii="Times New Roman" w:hAnsi="Times New Roman" w:cs="Times New Roman"/>
                <w:sz w:val="20"/>
                <w:szCs w:val="20"/>
              </w:rPr>
              <w:lastRenderedPageBreak/>
              <w:t>3</w:t>
            </w:r>
          </w:p>
        </w:tc>
        <w:tc>
          <w:tcPr>
            <w:tcW w:w="919" w:type="pct"/>
          </w:tcPr>
          <w:p w14:paraId="5E4B6FC7"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Moderate</w:t>
            </w:r>
          </w:p>
        </w:tc>
        <w:tc>
          <w:tcPr>
            <w:tcW w:w="3690" w:type="pct"/>
          </w:tcPr>
          <w:p w14:paraId="0F0C1DEE"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Maximum impact that still meets an objective (e.g. sustainable level of impact such as a full exploitation rate for a target species; maintaining levels of critical habitat)</w:t>
            </w:r>
          </w:p>
        </w:tc>
      </w:tr>
      <w:tr w:rsidR="00C729CD" w:rsidRPr="008E19EC" w14:paraId="621D8A07" w14:textId="77777777" w:rsidTr="00706C06">
        <w:tc>
          <w:tcPr>
            <w:tcW w:w="391" w:type="pct"/>
          </w:tcPr>
          <w:p w14:paraId="1105F9A3" w14:textId="77777777" w:rsidR="00C729CD" w:rsidRPr="008E19EC" w:rsidRDefault="00C729CD" w:rsidP="00706C06">
            <w:pPr>
              <w:jc w:val="center"/>
              <w:rPr>
                <w:rFonts w:ascii="Times New Roman" w:hAnsi="Times New Roman" w:cs="Times New Roman"/>
                <w:sz w:val="20"/>
                <w:szCs w:val="20"/>
              </w:rPr>
            </w:pPr>
            <w:r w:rsidRPr="008E19EC">
              <w:rPr>
                <w:rFonts w:ascii="Times New Roman" w:hAnsi="Times New Roman" w:cs="Times New Roman"/>
                <w:sz w:val="20"/>
                <w:szCs w:val="20"/>
              </w:rPr>
              <w:t>4</w:t>
            </w:r>
          </w:p>
        </w:tc>
        <w:tc>
          <w:tcPr>
            <w:tcW w:w="919" w:type="pct"/>
          </w:tcPr>
          <w:p w14:paraId="2D468A9A"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Major</w:t>
            </w:r>
          </w:p>
        </w:tc>
        <w:tc>
          <w:tcPr>
            <w:tcW w:w="3690" w:type="pct"/>
          </w:tcPr>
          <w:p w14:paraId="06400C1E"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Wider and longer term impacts (e.g. long-term decline in CPUE)</w:t>
            </w:r>
          </w:p>
        </w:tc>
      </w:tr>
      <w:tr w:rsidR="00C729CD" w:rsidRPr="008E19EC" w14:paraId="1A4D5FAC" w14:textId="77777777" w:rsidTr="00706C06">
        <w:tc>
          <w:tcPr>
            <w:tcW w:w="391" w:type="pct"/>
          </w:tcPr>
          <w:p w14:paraId="2245120D" w14:textId="77777777" w:rsidR="00C729CD" w:rsidRPr="008E19EC" w:rsidRDefault="00C729CD" w:rsidP="00706C06">
            <w:pPr>
              <w:jc w:val="center"/>
              <w:rPr>
                <w:rFonts w:ascii="Times New Roman" w:hAnsi="Times New Roman" w:cs="Times New Roman"/>
                <w:sz w:val="20"/>
                <w:szCs w:val="20"/>
              </w:rPr>
            </w:pPr>
            <w:r w:rsidRPr="008E19EC">
              <w:rPr>
                <w:rFonts w:ascii="Times New Roman" w:hAnsi="Times New Roman" w:cs="Times New Roman"/>
                <w:sz w:val="20"/>
                <w:szCs w:val="20"/>
              </w:rPr>
              <w:t>5</w:t>
            </w:r>
          </w:p>
        </w:tc>
        <w:tc>
          <w:tcPr>
            <w:tcW w:w="919" w:type="pct"/>
          </w:tcPr>
          <w:p w14:paraId="4ED23897"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Severe</w:t>
            </w:r>
          </w:p>
        </w:tc>
        <w:tc>
          <w:tcPr>
            <w:tcW w:w="3690" w:type="pct"/>
          </w:tcPr>
          <w:p w14:paraId="71D1D7B6"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Very serious impacts occurring, with a relatively long time period likely to be needed to restore to an acceptable level (e.g. serious decline in spawning biomass limiting population increase)</w:t>
            </w:r>
          </w:p>
        </w:tc>
      </w:tr>
      <w:tr w:rsidR="00C729CD" w:rsidRPr="008E19EC" w14:paraId="30628EBB" w14:textId="77777777" w:rsidTr="00706C06">
        <w:tc>
          <w:tcPr>
            <w:tcW w:w="391" w:type="pct"/>
          </w:tcPr>
          <w:p w14:paraId="255C1B62" w14:textId="77777777" w:rsidR="00C729CD" w:rsidRPr="008E19EC" w:rsidRDefault="00C729CD" w:rsidP="00706C06">
            <w:pPr>
              <w:jc w:val="center"/>
              <w:rPr>
                <w:rFonts w:ascii="Times New Roman" w:hAnsi="Times New Roman" w:cs="Times New Roman"/>
                <w:sz w:val="20"/>
                <w:szCs w:val="20"/>
              </w:rPr>
            </w:pPr>
            <w:r w:rsidRPr="008E19EC">
              <w:rPr>
                <w:rFonts w:ascii="Times New Roman" w:hAnsi="Times New Roman" w:cs="Times New Roman"/>
                <w:sz w:val="20"/>
                <w:szCs w:val="20"/>
              </w:rPr>
              <w:t>6</w:t>
            </w:r>
          </w:p>
        </w:tc>
        <w:tc>
          <w:tcPr>
            <w:tcW w:w="919" w:type="pct"/>
          </w:tcPr>
          <w:p w14:paraId="59934688"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Intolerable</w:t>
            </w:r>
          </w:p>
        </w:tc>
        <w:tc>
          <w:tcPr>
            <w:tcW w:w="3690" w:type="pct"/>
          </w:tcPr>
          <w:p w14:paraId="0205B7A3" w14:textId="77777777" w:rsidR="00C729CD" w:rsidRPr="008E19EC" w:rsidRDefault="00C729CD" w:rsidP="00706C06">
            <w:pPr>
              <w:rPr>
                <w:rFonts w:ascii="Times New Roman" w:hAnsi="Times New Roman" w:cs="Times New Roman"/>
                <w:sz w:val="20"/>
                <w:szCs w:val="20"/>
              </w:rPr>
            </w:pPr>
            <w:r w:rsidRPr="008E19EC">
              <w:rPr>
                <w:rFonts w:ascii="Times New Roman" w:hAnsi="Times New Roman" w:cs="Times New Roman"/>
                <w:sz w:val="20"/>
                <w:szCs w:val="20"/>
              </w:rPr>
              <w:t>Widespread and permanent/irreversible damage or loss will occur – unlikely to ever be fixed (e.g. local extinction)</w:t>
            </w:r>
          </w:p>
        </w:tc>
      </w:tr>
    </w:tbl>
    <w:p w14:paraId="500A5D59" w14:textId="77777777" w:rsidR="00D85E5B" w:rsidRPr="008E19EC" w:rsidRDefault="00D85E5B" w:rsidP="00D85E5B">
      <w:pPr>
        <w:ind w:hanging="284"/>
        <w:rPr>
          <w:rFonts w:ascii="Times New Roman" w:hAnsi="Times New Roman" w:cs="Times New Roman"/>
        </w:rPr>
      </w:pPr>
    </w:p>
    <w:p w14:paraId="38ABFFC4" w14:textId="77777777" w:rsidR="00D85E5B" w:rsidRPr="008E19EC" w:rsidRDefault="00D85E5B" w:rsidP="00D85E5B">
      <w:pPr>
        <w:pStyle w:val="Caption"/>
        <w:rPr>
          <w:rFonts w:ascii="Times New Roman" w:hAnsi="Times New Roman" w:cs="Times New Roman"/>
        </w:rPr>
      </w:pPr>
    </w:p>
    <w:p w14:paraId="397FD347" w14:textId="77777777" w:rsidR="00D85E5B" w:rsidRPr="008E19EC" w:rsidRDefault="00D85E5B" w:rsidP="00D85E5B">
      <w:pPr>
        <w:pStyle w:val="Caption"/>
        <w:rPr>
          <w:rFonts w:ascii="Times New Roman" w:hAnsi="Times New Roman" w:cs="Times New Roman"/>
        </w:rPr>
      </w:pPr>
      <w:bookmarkStart w:id="2" w:name="_Toc382923805"/>
      <w:proofErr w:type="gramStart"/>
      <w:r>
        <w:rPr>
          <w:rFonts w:ascii="Times New Roman" w:hAnsi="Times New Roman" w:cs="Times New Roman"/>
        </w:rPr>
        <w:t xml:space="preserve">S1 </w:t>
      </w:r>
      <w:r w:rsidRPr="008E19EC">
        <w:rPr>
          <w:rFonts w:ascii="Times New Roman" w:hAnsi="Times New Roman" w:cs="Times New Roman"/>
        </w:rPr>
        <w:t>Table 2.</w:t>
      </w:r>
      <w:proofErr w:type="gramEnd"/>
      <w:r w:rsidRPr="008E19EC">
        <w:rPr>
          <w:rFonts w:ascii="Times New Roman" w:hAnsi="Times New Roman" w:cs="Times New Roman"/>
        </w:rPr>
        <w:t xml:space="preserve"> Scoring definition of the uncertainty of risk scores.</w:t>
      </w:r>
      <w:bookmarkEnd w:id="2"/>
    </w:p>
    <w:tbl>
      <w:tblPr>
        <w:tblW w:w="508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800"/>
        <w:gridCol w:w="1750"/>
        <w:gridCol w:w="7196"/>
      </w:tblGrid>
      <w:tr w:rsidR="00D85E5B" w:rsidRPr="008E19EC" w14:paraId="5DB30B4D" w14:textId="77777777" w:rsidTr="00C2159F">
        <w:trPr>
          <w:trHeight w:val="250"/>
          <w:jc w:val="center"/>
        </w:trPr>
        <w:tc>
          <w:tcPr>
            <w:tcW w:w="5000" w:type="pct"/>
            <w:gridSpan w:val="3"/>
            <w:tcBorders>
              <w:top w:val="single" w:sz="4" w:space="0" w:color="auto"/>
            </w:tcBorders>
            <w:shd w:val="clear" w:color="auto" w:fill="BFBFBF"/>
          </w:tcPr>
          <w:p w14:paraId="77D912CC" w14:textId="77777777" w:rsidR="00D85E5B" w:rsidRPr="008E19EC" w:rsidRDefault="00D85E5B" w:rsidP="00C2159F">
            <w:pPr>
              <w:rPr>
                <w:rFonts w:ascii="Times New Roman" w:hAnsi="Times New Roman" w:cs="Times New Roman"/>
                <w:b/>
                <w:bCs/>
                <w:i/>
                <w:iCs/>
                <w:sz w:val="20"/>
                <w:szCs w:val="20"/>
              </w:rPr>
            </w:pPr>
            <w:r w:rsidRPr="008E19EC">
              <w:rPr>
                <w:rFonts w:ascii="Times New Roman" w:hAnsi="Times New Roman" w:cs="Times New Roman"/>
                <w:b/>
                <w:bCs/>
                <w:i/>
                <w:iCs/>
                <w:sz w:val="20"/>
                <w:szCs w:val="20"/>
              </w:rPr>
              <w:t>Uncertainty</w:t>
            </w:r>
          </w:p>
        </w:tc>
      </w:tr>
      <w:tr w:rsidR="00D85E5B" w:rsidRPr="008E19EC" w14:paraId="0153A341" w14:textId="77777777" w:rsidTr="00C2159F">
        <w:trPr>
          <w:trHeight w:val="196"/>
          <w:jc w:val="center"/>
        </w:trPr>
        <w:tc>
          <w:tcPr>
            <w:tcW w:w="410" w:type="pct"/>
            <w:tcBorders>
              <w:bottom w:val="single" w:sz="4" w:space="0" w:color="auto"/>
            </w:tcBorders>
            <w:noWrap/>
            <w:vAlign w:val="center"/>
          </w:tcPr>
          <w:p w14:paraId="38C57818"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b/>
                <w:bCs/>
                <w:sz w:val="20"/>
                <w:szCs w:val="20"/>
              </w:rPr>
              <w:t>Score</w:t>
            </w:r>
          </w:p>
        </w:tc>
        <w:tc>
          <w:tcPr>
            <w:tcW w:w="898" w:type="pct"/>
            <w:tcBorders>
              <w:bottom w:val="single" w:sz="4" w:space="0" w:color="auto"/>
            </w:tcBorders>
            <w:vAlign w:val="center"/>
          </w:tcPr>
          <w:p w14:paraId="0A9CF282"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b/>
                <w:bCs/>
                <w:sz w:val="20"/>
                <w:szCs w:val="20"/>
              </w:rPr>
              <w:t>Literature</w:t>
            </w:r>
          </w:p>
        </w:tc>
        <w:tc>
          <w:tcPr>
            <w:tcW w:w="3692" w:type="pct"/>
            <w:tcBorders>
              <w:bottom w:val="single" w:sz="4" w:space="0" w:color="auto"/>
            </w:tcBorders>
            <w:vAlign w:val="center"/>
          </w:tcPr>
          <w:p w14:paraId="42102B23"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b/>
                <w:bCs/>
                <w:sz w:val="20"/>
                <w:szCs w:val="20"/>
              </w:rPr>
              <w:t>Definition</w:t>
            </w:r>
          </w:p>
        </w:tc>
      </w:tr>
      <w:tr w:rsidR="00D85E5B" w:rsidRPr="008E19EC" w14:paraId="6ABC73C6" w14:textId="77777777" w:rsidTr="00C2159F">
        <w:trPr>
          <w:trHeight w:val="320"/>
          <w:jc w:val="center"/>
        </w:trPr>
        <w:tc>
          <w:tcPr>
            <w:tcW w:w="410" w:type="pct"/>
            <w:tcBorders>
              <w:top w:val="single" w:sz="4" w:space="0" w:color="auto"/>
              <w:bottom w:val="single" w:sz="4" w:space="0" w:color="auto"/>
            </w:tcBorders>
            <w:noWrap/>
          </w:tcPr>
          <w:p w14:paraId="00AA974F"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1</w:t>
            </w:r>
          </w:p>
        </w:tc>
        <w:tc>
          <w:tcPr>
            <w:tcW w:w="898" w:type="pct"/>
            <w:tcBorders>
              <w:top w:val="single" w:sz="4" w:space="0" w:color="auto"/>
              <w:bottom w:val="single" w:sz="4" w:space="0" w:color="auto"/>
            </w:tcBorders>
          </w:tcPr>
          <w:p w14:paraId="2B7B6900"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Extensive</w:t>
            </w:r>
          </w:p>
        </w:tc>
        <w:tc>
          <w:tcPr>
            <w:tcW w:w="3692" w:type="pct"/>
            <w:tcBorders>
              <w:top w:val="single" w:sz="4" w:space="0" w:color="auto"/>
              <w:bottom w:val="single" w:sz="4" w:space="0" w:color="auto"/>
            </w:tcBorders>
          </w:tcPr>
          <w:p w14:paraId="3877E5EC"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Extensive scientific information; peer-reviewed information; data specific to the location; supported by long-term datasets (10 years or more)</w:t>
            </w:r>
          </w:p>
        </w:tc>
      </w:tr>
      <w:tr w:rsidR="00D85E5B" w:rsidRPr="008E19EC" w14:paraId="56ACC17A" w14:textId="77777777" w:rsidTr="00C2159F">
        <w:trPr>
          <w:trHeight w:val="260"/>
          <w:jc w:val="center"/>
        </w:trPr>
        <w:tc>
          <w:tcPr>
            <w:tcW w:w="410" w:type="pct"/>
            <w:tcBorders>
              <w:top w:val="single" w:sz="4" w:space="0" w:color="auto"/>
              <w:bottom w:val="single" w:sz="4" w:space="0" w:color="auto"/>
            </w:tcBorders>
            <w:noWrap/>
          </w:tcPr>
          <w:p w14:paraId="5AB25DC7"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2</w:t>
            </w:r>
          </w:p>
        </w:tc>
        <w:tc>
          <w:tcPr>
            <w:tcW w:w="898" w:type="pct"/>
            <w:tcBorders>
              <w:top w:val="single" w:sz="4" w:space="0" w:color="auto"/>
              <w:bottom w:val="single" w:sz="4" w:space="0" w:color="auto"/>
            </w:tcBorders>
          </w:tcPr>
          <w:p w14:paraId="07C475E3"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Substantial</w:t>
            </w:r>
          </w:p>
        </w:tc>
        <w:tc>
          <w:tcPr>
            <w:tcW w:w="3692" w:type="pct"/>
            <w:tcBorders>
              <w:top w:val="single" w:sz="4" w:space="0" w:color="auto"/>
              <w:bottom w:val="single" w:sz="4" w:space="0" w:color="auto"/>
            </w:tcBorders>
          </w:tcPr>
          <w:p w14:paraId="16EB29BC"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Substantial scientific information; non-peer-reviewed information; data specific to the region; supported by recent data (within the last 10 years) or research</w:t>
            </w:r>
          </w:p>
        </w:tc>
      </w:tr>
      <w:tr w:rsidR="00D85E5B" w:rsidRPr="008E19EC" w14:paraId="4EA79A1C" w14:textId="77777777" w:rsidTr="00C2159F">
        <w:trPr>
          <w:trHeight w:val="280"/>
          <w:jc w:val="center"/>
        </w:trPr>
        <w:tc>
          <w:tcPr>
            <w:tcW w:w="410" w:type="pct"/>
            <w:tcBorders>
              <w:top w:val="single" w:sz="4" w:space="0" w:color="auto"/>
              <w:bottom w:val="single" w:sz="4" w:space="0" w:color="auto"/>
            </w:tcBorders>
            <w:noWrap/>
          </w:tcPr>
          <w:p w14:paraId="3C87374B"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3</w:t>
            </w:r>
          </w:p>
        </w:tc>
        <w:tc>
          <w:tcPr>
            <w:tcW w:w="898" w:type="pct"/>
            <w:tcBorders>
              <w:top w:val="single" w:sz="4" w:space="0" w:color="auto"/>
              <w:bottom w:val="single" w:sz="4" w:space="0" w:color="auto"/>
            </w:tcBorders>
          </w:tcPr>
          <w:p w14:paraId="2A610726"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Moderate</w:t>
            </w:r>
          </w:p>
        </w:tc>
        <w:tc>
          <w:tcPr>
            <w:tcW w:w="3692" w:type="pct"/>
            <w:tcBorders>
              <w:top w:val="single" w:sz="4" w:space="0" w:color="auto"/>
              <w:bottom w:val="single" w:sz="4" w:space="0" w:color="auto"/>
            </w:tcBorders>
          </w:tcPr>
          <w:p w14:paraId="675BFA8B"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Moderate level of information; data from comparable regions or older data (more than 10 years) from the area of interest</w:t>
            </w:r>
          </w:p>
        </w:tc>
      </w:tr>
      <w:tr w:rsidR="00D85E5B" w:rsidRPr="008E19EC" w14:paraId="699815D7" w14:textId="77777777" w:rsidTr="00C2159F">
        <w:trPr>
          <w:trHeight w:val="300"/>
          <w:jc w:val="center"/>
        </w:trPr>
        <w:tc>
          <w:tcPr>
            <w:tcW w:w="410" w:type="pct"/>
            <w:tcBorders>
              <w:top w:val="single" w:sz="4" w:space="0" w:color="auto"/>
              <w:bottom w:val="single" w:sz="4" w:space="0" w:color="auto"/>
            </w:tcBorders>
            <w:noWrap/>
          </w:tcPr>
          <w:p w14:paraId="0ED0086E"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4</w:t>
            </w:r>
          </w:p>
        </w:tc>
        <w:tc>
          <w:tcPr>
            <w:tcW w:w="898" w:type="pct"/>
            <w:tcBorders>
              <w:top w:val="single" w:sz="4" w:space="0" w:color="auto"/>
              <w:bottom w:val="single" w:sz="4" w:space="0" w:color="auto"/>
            </w:tcBorders>
          </w:tcPr>
          <w:p w14:paraId="5DE018C9"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Limited</w:t>
            </w:r>
          </w:p>
        </w:tc>
        <w:tc>
          <w:tcPr>
            <w:tcW w:w="3692" w:type="pct"/>
            <w:tcBorders>
              <w:top w:val="single" w:sz="4" w:space="0" w:color="auto"/>
              <w:bottom w:val="single" w:sz="4" w:space="0" w:color="auto"/>
            </w:tcBorders>
          </w:tcPr>
          <w:p w14:paraId="7923B307"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Limited information; expert opinion based on observational information or circumstantial evidence</w:t>
            </w:r>
          </w:p>
        </w:tc>
      </w:tr>
      <w:tr w:rsidR="00D85E5B" w:rsidRPr="008E19EC" w14:paraId="01B2252C" w14:textId="77777777" w:rsidTr="00C2159F">
        <w:trPr>
          <w:trHeight w:val="260"/>
          <w:jc w:val="center"/>
        </w:trPr>
        <w:tc>
          <w:tcPr>
            <w:tcW w:w="410" w:type="pct"/>
            <w:tcBorders>
              <w:top w:val="single" w:sz="4" w:space="0" w:color="auto"/>
            </w:tcBorders>
            <w:noWrap/>
          </w:tcPr>
          <w:p w14:paraId="0A8AD484" w14:textId="77777777" w:rsidR="00D85E5B" w:rsidRPr="008E19EC" w:rsidRDefault="00D85E5B" w:rsidP="00C2159F">
            <w:pPr>
              <w:jc w:val="center"/>
              <w:rPr>
                <w:rFonts w:ascii="Times New Roman" w:hAnsi="Times New Roman" w:cs="Times New Roman"/>
                <w:sz w:val="20"/>
                <w:szCs w:val="20"/>
              </w:rPr>
            </w:pPr>
            <w:r w:rsidRPr="008E19EC">
              <w:rPr>
                <w:rFonts w:ascii="Times New Roman" w:hAnsi="Times New Roman" w:cs="Times New Roman"/>
                <w:sz w:val="20"/>
                <w:szCs w:val="20"/>
              </w:rPr>
              <w:t>5</w:t>
            </w:r>
          </w:p>
        </w:tc>
        <w:tc>
          <w:tcPr>
            <w:tcW w:w="898" w:type="pct"/>
            <w:tcBorders>
              <w:top w:val="single" w:sz="4" w:space="0" w:color="auto"/>
            </w:tcBorders>
          </w:tcPr>
          <w:p w14:paraId="0B0785A7"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Little to None</w:t>
            </w:r>
          </w:p>
        </w:tc>
        <w:tc>
          <w:tcPr>
            <w:tcW w:w="3692" w:type="pct"/>
            <w:tcBorders>
              <w:top w:val="single" w:sz="4" w:space="0" w:color="auto"/>
            </w:tcBorders>
          </w:tcPr>
          <w:p w14:paraId="3A9F05E6" w14:textId="77777777" w:rsidR="00D85E5B" w:rsidRPr="008E19EC" w:rsidRDefault="00D85E5B" w:rsidP="00C2159F">
            <w:pPr>
              <w:rPr>
                <w:rFonts w:ascii="Times New Roman" w:hAnsi="Times New Roman" w:cs="Times New Roman"/>
                <w:sz w:val="20"/>
                <w:szCs w:val="20"/>
              </w:rPr>
            </w:pPr>
            <w:r w:rsidRPr="008E19EC">
              <w:rPr>
                <w:rFonts w:ascii="Times New Roman" w:hAnsi="Times New Roman" w:cs="Times New Roman"/>
                <w:sz w:val="20"/>
                <w:szCs w:val="20"/>
              </w:rPr>
              <w:t>Little or no information; expert opinion based on general knowledge</w:t>
            </w:r>
          </w:p>
        </w:tc>
      </w:tr>
    </w:tbl>
    <w:p w14:paraId="2A48A994" w14:textId="77777777" w:rsidR="00D85E5B" w:rsidRPr="008E19EC" w:rsidRDefault="00D85E5B" w:rsidP="00D85E5B">
      <w:pPr>
        <w:rPr>
          <w:rFonts w:ascii="Times New Roman" w:hAnsi="Times New Roman" w:cs="Times New Roman"/>
        </w:rPr>
      </w:pPr>
    </w:p>
    <w:p w14:paraId="409E6D22" w14:textId="77777777" w:rsidR="00D85E5B" w:rsidRPr="00286D36" w:rsidRDefault="00D85E5B" w:rsidP="00D85E5B">
      <w:pPr>
        <w:pStyle w:val="Heading3"/>
        <w:rPr>
          <w:color w:val="0070C0"/>
        </w:rPr>
      </w:pPr>
      <w:r w:rsidRPr="00286D36">
        <w:rPr>
          <w:color w:val="0070C0"/>
        </w:rPr>
        <w:t>Scoring Uncertainty</w:t>
      </w:r>
    </w:p>
    <w:p w14:paraId="18CD7E15" w14:textId="77777777" w:rsidR="00D85E5B" w:rsidRDefault="00D85E5B" w:rsidP="00D85E5B">
      <w:pPr>
        <w:spacing w:line="480" w:lineRule="auto"/>
        <w:rPr>
          <w:rFonts w:ascii="Times New Roman" w:hAnsi="Times New Roman" w:cs="Times New Roman"/>
        </w:rPr>
      </w:pPr>
      <w:r w:rsidRPr="008E19EC">
        <w:rPr>
          <w:rFonts w:ascii="Times New Roman" w:hAnsi="Times New Roman" w:cs="Times New Roman"/>
        </w:rPr>
        <w:t>An “uncertainty incorporation” exercise was completed to include the uncertainty of the qualitative risk scoring in the final and cumulative risk scores.  Each risk variable (</w:t>
      </w:r>
      <w:r w:rsidRPr="008E19EC">
        <w:rPr>
          <w:rFonts w:ascii="Times New Roman" w:hAnsi="Times New Roman" w:cs="Times New Roman"/>
          <w:i/>
          <w:iCs/>
        </w:rPr>
        <w:t xml:space="preserve">Temporal Scale, Spatial Scale, </w:t>
      </w:r>
      <w:r w:rsidR="00397C8F">
        <w:rPr>
          <w:rFonts w:ascii="Times New Roman" w:hAnsi="Times New Roman" w:cs="Times New Roman"/>
          <w:i/>
          <w:iCs/>
        </w:rPr>
        <w:t>Load</w:t>
      </w:r>
      <w:r w:rsidRPr="008E19EC">
        <w:rPr>
          <w:rFonts w:ascii="Times New Roman" w:hAnsi="Times New Roman" w:cs="Times New Roman"/>
        </w:rPr>
        <w:t xml:space="preserve"> and </w:t>
      </w:r>
      <w:r w:rsidRPr="008E19EC">
        <w:rPr>
          <w:rFonts w:ascii="Times New Roman" w:hAnsi="Times New Roman" w:cs="Times New Roman"/>
          <w:i/>
          <w:iCs/>
        </w:rPr>
        <w:t>Consequence</w:t>
      </w:r>
      <w:r w:rsidRPr="008E19EC">
        <w:rPr>
          <w:rFonts w:ascii="Times New Roman" w:hAnsi="Times New Roman" w:cs="Times New Roman"/>
        </w:rPr>
        <w:t>) was assigned as the mean of a normal distribution with standard deviation set according to the level of uncertainty assigned</w:t>
      </w:r>
      <w:r>
        <w:rPr>
          <w:rFonts w:ascii="Times New Roman" w:hAnsi="Times New Roman" w:cs="Times New Roman"/>
        </w:rPr>
        <w:t xml:space="preserve"> (S1 Table 2)</w:t>
      </w:r>
      <w:r w:rsidRPr="008E19EC">
        <w:rPr>
          <w:rFonts w:ascii="Times New Roman" w:hAnsi="Times New Roman" w:cs="Times New Roman"/>
        </w:rPr>
        <w:t>. The distribution was bounded by the minimum and maximum scores for each risk variable so that the scores could not be higher or lower than the variable’s scale (</w:t>
      </w:r>
      <w:r w:rsidRPr="008E19EC">
        <w:rPr>
          <w:rFonts w:ascii="Times New Roman" w:hAnsi="Times New Roman" w:cs="Times New Roman"/>
          <w:i/>
          <w:iCs/>
        </w:rPr>
        <w:t>e.g.</w:t>
      </w:r>
      <w:r w:rsidRPr="008E19EC">
        <w:rPr>
          <w:rFonts w:ascii="Times New Roman" w:hAnsi="Times New Roman" w:cs="Times New Roman"/>
        </w:rPr>
        <w:t>, the intensity score cannot be lower than 1 or higher than 3).  The score of each risk variable was then randomly sampled from this distribution with 100</w:t>
      </w:r>
      <w:r>
        <w:rPr>
          <w:rFonts w:ascii="Times New Roman" w:hAnsi="Times New Roman" w:cs="Times New Roman"/>
        </w:rPr>
        <w:t>0</w:t>
      </w:r>
      <w:r w:rsidRPr="008E19EC">
        <w:rPr>
          <w:rFonts w:ascii="Times New Roman" w:hAnsi="Times New Roman" w:cs="Times New Roman"/>
        </w:rPr>
        <w:t xml:space="preserve"> replicates. The final risk score for each </w:t>
      </w:r>
      <w:r>
        <w:rPr>
          <w:rFonts w:ascii="Times New Roman" w:hAnsi="Times New Roman" w:cs="Times New Roman"/>
        </w:rPr>
        <w:t>ecosystem component</w:t>
      </w:r>
      <w:r w:rsidRPr="008E19EC">
        <w:rPr>
          <w:rFonts w:ascii="Times New Roman" w:hAnsi="Times New Roman" w:cs="Times New Roman"/>
        </w:rPr>
        <w:t xml:space="preserve"> -stressor relationship was a product of the four risk variable arrays (</w:t>
      </w:r>
      <w:r w:rsidRPr="008E19EC">
        <w:rPr>
          <w:rFonts w:ascii="Times New Roman" w:hAnsi="Times New Roman" w:cs="Times New Roman"/>
          <w:i/>
          <w:iCs/>
        </w:rPr>
        <w:t>Risk</w:t>
      </w:r>
      <w:r w:rsidRPr="008E19EC">
        <w:rPr>
          <w:rFonts w:ascii="Times New Roman" w:hAnsi="Times New Roman" w:cs="Times New Roman"/>
        </w:rPr>
        <w:t xml:space="preserve"> = </w:t>
      </w:r>
      <w:r w:rsidRPr="008E19EC">
        <w:rPr>
          <w:rFonts w:ascii="Times New Roman" w:hAnsi="Times New Roman" w:cs="Times New Roman"/>
          <w:i/>
          <w:iCs/>
        </w:rPr>
        <w:t>SS</w:t>
      </w:r>
      <w:r w:rsidRPr="008E19EC">
        <w:rPr>
          <w:rFonts w:ascii="Times New Roman" w:hAnsi="Times New Roman" w:cs="Times New Roman"/>
        </w:rPr>
        <w:t xml:space="preserve"> x </w:t>
      </w:r>
      <w:r w:rsidRPr="008E19EC">
        <w:rPr>
          <w:rFonts w:ascii="Times New Roman" w:hAnsi="Times New Roman" w:cs="Times New Roman"/>
          <w:i/>
          <w:iCs/>
        </w:rPr>
        <w:t>TS</w:t>
      </w:r>
      <w:r w:rsidRPr="008E19EC">
        <w:rPr>
          <w:rFonts w:ascii="Times New Roman" w:hAnsi="Times New Roman" w:cs="Times New Roman"/>
        </w:rPr>
        <w:t xml:space="preserve"> x </w:t>
      </w:r>
      <w:r w:rsidR="00397C8F">
        <w:rPr>
          <w:rFonts w:ascii="Times New Roman" w:hAnsi="Times New Roman" w:cs="Times New Roman"/>
          <w:i/>
          <w:iCs/>
        </w:rPr>
        <w:t>L</w:t>
      </w:r>
      <w:r w:rsidRPr="008E19EC">
        <w:rPr>
          <w:rFonts w:ascii="Times New Roman" w:hAnsi="Times New Roman" w:cs="Times New Roman"/>
        </w:rPr>
        <w:t xml:space="preserve"> x </w:t>
      </w:r>
      <w:r w:rsidRPr="008E19EC">
        <w:rPr>
          <w:rFonts w:ascii="Times New Roman" w:hAnsi="Times New Roman" w:cs="Times New Roman"/>
          <w:i/>
          <w:iCs/>
        </w:rPr>
        <w:t>C</w:t>
      </w:r>
      <w:r>
        <w:rPr>
          <w:rFonts w:ascii="Times New Roman" w:hAnsi="Times New Roman" w:cs="Times New Roman"/>
          <w:vertAlign w:val="superscript"/>
        </w:rPr>
        <w:t>2</w:t>
      </w:r>
      <w:r w:rsidRPr="008E19EC">
        <w:rPr>
          <w:rFonts w:ascii="Times New Roman" w:hAnsi="Times New Roman" w:cs="Times New Roman"/>
        </w:rPr>
        <w:t xml:space="preserve">), where the first score generated from each variable array is multiplied across all four </w:t>
      </w:r>
      <w:r w:rsidRPr="008E19EC">
        <w:rPr>
          <w:rFonts w:ascii="Times New Roman" w:hAnsi="Times New Roman" w:cs="Times New Roman"/>
        </w:rPr>
        <w:lastRenderedPageBreak/>
        <w:t>risk variables, followed by the second, and so on for all 100</w:t>
      </w:r>
      <w:r>
        <w:rPr>
          <w:rFonts w:ascii="Times New Roman" w:hAnsi="Times New Roman" w:cs="Times New Roman"/>
        </w:rPr>
        <w:t>0</w:t>
      </w:r>
      <w:r w:rsidRPr="008E19EC">
        <w:rPr>
          <w:rFonts w:ascii="Times New Roman" w:hAnsi="Times New Roman" w:cs="Times New Roman"/>
        </w:rPr>
        <w:t xml:space="preserve"> replicates and resulting in a final risk array of 100</w:t>
      </w:r>
      <w:r>
        <w:rPr>
          <w:rFonts w:ascii="Times New Roman" w:hAnsi="Times New Roman" w:cs="Times New Roman"/>
        </w:rPr>
        <w:t>0</w:t>
      </w:r>
      <w:r w:rsidRPr="008E19EC">
        <w:rPr>
          <w:rFonts w:ascii="Times New Roman" w:hAnsi="Times New Roman" w:cs="Times New Roman"/>
        </w:rPr>
        <w:t xml:space="preserve"> scores. The mean and 10% and 90% quantiles from this final array of the overall risk to each </w:t>
      </w:r>
      <w:r>
        <w:rPr>
          <w:rFonts w:ascii="Times New Roman" w:hAnsi="Times New Roman" w:cs="Times New Roman"/>
        </w:rPr>
        <w:t>ecosystem component</w:t>
      </w:r>
      <w:r w:rsidRPr="008E19EC">
        <w:rPr>
          <w:rFonts w:ascii="Times New Roman" w:hAnsi="Times New Roman" w:cs="Times New Roman"/>
        </w:rPr>
        <w:t xml:space="preserve"> -stressor relationship was reported</w:t>
      </w:r>
      <w:r>
        <w:rPr>
          <w:rFonts w:ascii="Times New Roman" w:hAnsi="Times New Roman" w:cs="Times New Roman"/>
        </w:rPr>
        <w:t>.</w:t>
      </w:r>
      <w:r w:rsidRPr="008E19EC">
        <w:rPr>
          <w:rFonts w:ascii="Times New Roman" w:hAnsi="Times New Roman" w:cs="Times New Roman"/>
        </w:rPr>
        <w:t xml:space="preserve"> </w:t>
      </w:r>
    </w:p>
    <w:p w14:paraId="1E6A9F1B" w14:textId="77777777" w:rsidR="0085272D" w:rsidRDefault="0085272D" w:rsidP="0085272D">
      <w:pPr>
        <w:pStyle w:val="Heading3"/>
        <w:rPr>
          <w:color w:val="auto"/>
        </w:rPr>
      </w:pPr>
      <w:r w:rsidRPr="0032126B">
        <w:rPr>
          <w:color w:val="auto"/>
        </w:rPr>
        <w:t>Sample calculation</w:t>
      </w:r>
    </w:p>
    <w:p w14:paraId="7B66A07A" w14:textId="77777777" w:rsidR="0085272D" w:rsidRPr="0032126B" w:rsidRDefault="0085272D" w:rsidP="0085272D"/>
    <w:p w14:paraId="2B276813" w14:textId="77777777" w:rsidR="0085272D" w:rsidRPr="0032126B" w:rsidRDefault="0085272D" w:rsidP="0085272D">
      <w:pPr>
        <w:rPr>
          <w:rFonts w:ascii="Times New Roman" w:hAnsi="Times New Roman" w:cs="Times New Roman"/>
        </w:rPr>
      </w:pPr>
      <w:r w:rsidRPr="0032126B">
        <w:rPr>
          <w:rFonts w:ascii="Times New Roman" w:hAnsi="Times New Roman" w:cs="Times New Roman"/>
        </w:rPr>
        <w:t xml:space="preserve">For the sample data presented below for the impact of the stressor sea level risk on the ecosystem component, the risk would be estimated as </w:t>
      </w:r>
    </w:p>
    <w:p w14:paraId="21D06F34" w14:textId="77777777" w:rsidR="0085272D" w:rsidRPr="0032126B" w:rsidRDefault="0085272D" w:rsidP="0085272D">
      <w:pPr>
        <w:rPr>
          <w:i/>
        </w:rPr>
      </w:pPr>
    </w:p>
    <w:tbl>
      <w:tblPr>
        <w:tblStyle w:val="TableGrid"/>
        <w:tblW w:w="9198" w:type="dxa"/>
        <w:tblLayout w:type="fixed"/>
        <w:tblLook w:val="04A0" w:firstRow="1" w:lastRow="0" w:firstColumn="1" w:lastColumn="0" w:noHBand="0" w:noVBand="1"/>
      </w:tblPr>
      <w:tblGrid>
        <w:gridCol w:w="912"/>
        <w:gridCol w:w="1113"/>
        <w:gridCol w:w="899"/>
        <w:gridCol w:w="1324"/>
        <w:gridCol w:w="1183"/>
        <w:gridCol w:w="1184"/>
        <w:gridCol w:w="1183"/>
        <w:gridCol w:w="1400"/>
      </w:tblGrid>
      <w:tr w:rsidR="0085272D" w:rsidRPr="0032126B" w14:paraId="10DFC97B" w14:textId="77777777" w:rsidTr="00C729CD">
        <w:trPr>
          <w:trHeight w:val="300"/>
        </w:trPr>
        <w:tc>
          <w:tcPr>
            <w:tcW w:w="912" w:type="dxa"/>
            <w:noWrap/>
            <w:vAlign w:val="bottom"/>
            <w:hideMark/>
          </w:tcPr>
          <w:p w14:paraId="5446F09C" w14:textId="77777777" w:rsidR="0085272D" w:rsidRPr="0032126B" w:rsidRDefault="0085272D" w:rsidP="00C729CD">
            <w:pPr>
              <w:jc w:val="center"/>
              <w:rPr>
                <w:b/>
                <w:sz w:val="20"/>
                <w:szCs w:val="20"/>
              </w:rPr>
            </w:pPr>
            <w:r w:rsidRPr="0032126B">
              <w:rPr>
                <w:b/>
                <w:sz w:val="20"/>
                <w:szCs w:val="20"/>
              </w:rPr>
              <w:t>VEC</w:t>
            </w:r>
          </w:p>
        </w:tc>
        <w:tc>
          <w:tcPr>
            <w:tcW w:w="1113" w:type="dxa"/>
            <w:noWrap/>
            <w:vAlign w:val="bottom"/>
            <w:hideMark/>
          </w:tcPr>
          <w:p w14:paraId="40897EE4" w14:textId="77777777" w:rsidR="0085272D" w:rsidRPr="0032126B" w:rsidRDefault="0085272D" w:rsidP="00C729CD">
            <w:pPr>
              <w:jc w:val="center"/>
              <w:rPr>
                <w:b/>
                <w:sz w:val="20"/>
                <w:szCs w:val="20"/>
              </w:rPr>
            </w:pPr>
            <w:r w:rsidRPr="0032126B">
              <w:rPr>
                <w:b/>
                <w:sz w:val="20"/>
                <w:szCs w:val="20"/>
              </w:rPr>
              <w:t>Sector</w:t>
            </w:r>
          </w:p>
        </w:tc>
        <w:tc>
          <w:tcPr>
            <w:tcW w:w="899" w:type="dxa"/>
            <w:noWrap/>
            <w:vAlign w:val="bottom"/>
            <w:hideMark/>
          </w:tcPr>
          <w:p w14:paraId="75D5D215" w14:textId="77777777" w:rsidR="0085272D" w:rsidRPr="0032126B" w:rsidRDefault="0085272D" w:rsidP="00C729CD">
            <w:pPr>
              <w:jc w:val="center"/>
              <w:rPr>
                <w:b/>
                <w:sz w:val="20"/>
                <w:szCs w:val="20"/>
              </w:rPr>
            </w:pPr>
            <w:r w:rsidRPr="0032126B">
              <w:rPr>
                <w:b/>
                <w:sz w:val="20"/>
                <w:szCs w:val="20"/>
              </w:rPr>
              <w:t>Activity</w:t>
            </w:r>
          </w:p>
        </w:tc>
        <w:tc>
          <w:tcPr>
            <w:tcW w:w="1324" w:type="dxa"/>
            <w:noWrap/>
            <w:vAlign w:val="bottom"/>
            <w:hideMark/>
          </w:tcPr>
          <w:p w14:paraId="26E966FE" w14:textId="77777777" w:rsidR="0085272D" w:rsidRPr="0032126B" w:rsidRDefault="0085272D" w:rsidP="00C729CD">
            <w:pPr>
              <w:jc w:val="center"/>
              <w:rPr>
                <w:b/>
                <w:sz w:val="20"/>
                <w:szCs w:val="20"/>
              </w:rPr>
            </w:pPr>
            <w:r w:rsidRPr="0032126B">
              <w:rPr>
                <w:b/>
                <w:sz w:val="20"/>
                <w:szCs w:val="20"/>
              </w:rPr>
              <w:t>Stressor</w:t>
            </w:r>
          </w:p>
        </w:tc>
        <w:tc>
          <w:tcPr>
            <w:tcW w:w="1183" w:type="dxa"/>
            <w:noWrap/>
            <w:vAlign w:val="bottom"/>
            <w:hideMark/>
          </w:tcPr>
          <w:p w14:paraId="6320DF62" w14:textId="77777777" w:rsidR="0085272D" w:rsidRPr="0032126B" w:rsidRDefault="0085272D" w:rsidP="00C729CD">
            <w:pPr>
              <w:jc w:val="center"/>
              <w:rPr>
                <w:b/>
                <w:sz w:val="20"/>
                <w:szCs w:val="20"/>
              </w:rPr>
            </w:pPr>
            <w:r w:rsidRPr="0032126B">
              <w:rPr>
                <w:b/>
                <w:sz w:val="20"/>
                <w:szCs w:val="20"/>
              </w:rPr>
              <w:t>Load</w:t>
            </w:r>
          </w:p>
        </w:tc>
        <w:tc>
          <w:tcPr>
            <w:tcW w:w="1184" w:type="dxa"/>
            <w:noWrap/>
            <w:vAlign w:val="bottom"/>
            <w:hideMark/>
          </w:tcPr>
          <w:p w14:paraId="7F26ACE2" w14:textId="77777777" w:rsidR="0085272D" w:rsidRPr="0032126B" w:rsidRDefault="0085272D" w:rsidP="00C729CD">
            <w:pPr>
              <w:jc w:val="center"/>
              <w:rPr>
                <w:b/>
                <w:sz w:val="20"/>
                <w:szCs w:val="20"/>
              </w:rPr>
            </w:pPr>
            <w:r w:rsidRPr="0032126B">
              <w:rPr>
                <w:b/>
                <w:sz w:val="20"/>
                <w:szCs w:val="20"/>
              </w:rPr>
              <w:t>Temporal</w:t>
            </w:r>
            <w:r w:rsidRPr="0032126B">
              <w:rPr>
                <w:b/>
                <w:sz w:val="20"/>
                <w:szCs w:val="20"/>
              </w:rPr>
              <w:br/>
              <w:t>Scale</w:t>
            </w:r>
          </w:p>
        </w:tc>
        <w:tc>
          <w:tcPr>
            <w:tcW w:w="1183" w:type="dxa"/>
            <w:noWrap/>
            <w:vAlign w:val="bottom"/>
            <w:hideMark/>
          </w:tcPr>
          <w:p w14:paraId="09C344BA" w14:textId="77777777" w:rsidR="0085272D" w:rsidRPr="0032126B" w:rsidRDefault="0085272D" w:rsidP="00C729CD">
            <w:pPr>
              <w:jc w:val="center"/>
              <w:rPr>
                <w:b/>
                <w:sz w:val="20"/>
                <w:szCs w:val="20"/>
              </w:rPr>
            </w:pPr>
            <w:r w:rsidRPr="0032126B">
              <w:rPr>
                <w:b/>
                <w:sz w:val="20"/>
                <w:szCs w:val="20"/>
              </w:rPr>
              <w:t>Spatial</w:t>
            </w:r>
            <w:r w:rsidRPr="0032126B">
              <w:rPr>
                <w:b/>
                <w:sz w:val="20"/>
                <w:szCs w:val="20"/>
              </w:rPr>
              <w:br/>
              <w:t>Scale</w:t>
            </w:r>
          </w:p>
        </w:tc>
        <w:tc>
          <w:tcPr>
            <w:tcW w:w="1400" w:type="dxa"/>
            <w:noWrap/>
            <w:vAlign w:val="bottom"/>
            <w:hideMark/>
          </w:tcPr>
          <w:p w14:paraId="23305955" w14:textId="77777777" w:rsidR="0085272D" w:rsidRPr="0032126B" w:rsidRDefault="0085272D" w:rsidP="00C729CD">
            <w:pPr>
              <w:jc w:val="center"/>
              <w:rPr>
                <w:b/>
                <w:sz w:val="20"/>
                <w:szCs w:val="20"/>
              </w:rPr>
            </w:pPr>
            <w:r w:rsidRPr="0032126B">
              <w:rPr>
                <w:b/>
                <w:sz w:val="20"/>
                <w:szCs w:val="20"/>
              </w:rPr>
              <w:t>Consequence</w:t>
            </w:r>
          </w:p>
        </w:tc>
      </w:tr>
      <w:tr w:rsidR="0085272D" w:rsidRPr="0032126B" w14:paraId="7A08F37F" w14:textId="77777777" w:rsidTr="00C729CD">
        <w:trPr>
          <w:trHeight w:val="300"/>
        </w:trPr>
        <w:tc>
          <w:tcPr>
            <w:tcW w:w="912" w:type="dxa"/>
            <w:noWrap/>
            <w:vAlign w:val="center"/>
            <w:hideMark/>
          </w:tcPr>
          <w:p w14:paraId="74411E9D" w14:textId="77777777" w:rsidR="0085272D" w:rsidRPr="0032126B" w:rsidRDefault="0085272D" w:rsidP="00C729CD">
            <w:pPr>
              <w:jc w:val="center"/>
              <w:rPr>
                <w:sz w:val="20"/>
                <w:szCs w:val="20"/>
              </w:rPr>
            </w:pPr>
            <w:r w:rsidRPr="0032126B">
              <w:rPr>
                <w:sz w:val="20"/>
                <w:szCs w:val="20"/>
              </w:rPr>
              <w:t>Cassin's Auklet</w:t>
            </w:r>
          </w:p>
        </w:tc>
        <w:tc>
          <w:tcPr>
            <w:tcW w:w="1113" w:type="dxa"/>
            <w:noWrap/>
            <w:vAlign w:val="center"/>
            <w:hideMark/>
          </w:tcPr>
          <w:p w14:paraId="01407050" w14:textId="77777777" w:rsidR="0085272D" w:rsidRPr="0032126B" w:rsidRDefault="0085272D" w:rsidP="00C729CD">
            <w:pPr>
              <w:jc w:val="center"/>
              <w:rPr>
                <w:sz w:val="20"/>
                <w:szCs w:val="20"/>
              </w:rPr>
            </w:pPr>
            <w:r w:rsidRPr="0032126B">
              <w:rPr>
                <w:sz w:val="20"/>
                <w:szCs w:val="20"/>
              </w:rPr>
              <w:t>Long Term</w:t>
            </w:r>
          </w:p>
        </w:tc>
        <w:tc>
          <w:tcPr>
            <w:tcW w:w="899" w:type="dxa"/>
            <w:noWrap/>
            <w:vAlign w:val="center"/>
            <w:hideMark/>
          </w:tcPr>
          <w:p w14:paraId="20216988" w14:textId="77777777" w:rsidR="0085272D" w:rsidRPr="0032126B" w:rsidRDefault="0085272D" w:rsidP="00C729CD">
            <w:pPr>
              <w:jc w:val="center"/>
              <w:rPr>
                <w:sz w:val="20"/>
                <w:szCs w:val="20"/>
              </w:rPr>
            </w:pPr>
            <w:r w:rsidRPr="0032126B">
              <w:rPr>
                <w:sz w:val="20"/>
                <w:szCs w:val="20"/>
              </w:rPr>
              <w:t>Climate Change</w:t>
            </w:r>
          </w:p>
        </w:tc>
        <w:tc>
          <w:tcPr>
            <w:tcW w:w="1324" w:type="dxa"/>
            <w:noWrap/>
            <w:vAlign w:val="center"/>
            <w:hideMark/>
          </w:tcPr>
          <w:p w14:paraId="3CDA504A" w14:textId="77777777" w:rsidR="0085272D" w:rsidRPr="0032126B" w:rsidRDefault="0085272D" w:rsidP="00C729CD">
            <w:pPr>
              <w:jc w:val="center"/>
              <w:rPr>
                <w:sz w:val="20"/>
                <w:szCs w:val="20"/>
              </w:rPr>
            </w:pPr>
            <w:r w:rsidRPr="0032126B">
              <w:rPr>
                <w:sz w:val="20"/>
                <w:szCs w:val="20"/>
              </w:rPr>
              <w:t>Sea level rise</w:t>
            </w:r>
          </w:p>
        </w:tc>
        <w:tc>
          <w:tcPr>
            <w:tcW w:w="1183" w:type="dxa"/>
            <w:noWrap/>
            <w:vAlign w:val="center"/>
            <w:hideMark/>
          </w:tcPr>
          <w:p w14:paraId="1E46E99C" w14:textId="77777777" w:rsidR="0085272D" w:rsidRPr="0032126B" w:rsidRDefault="0085272D" w:rsidP="00C729CD">
            <w:pPr>
              <w:jc w:val="center"/>
              <w:rPr>
                <w:sz w:val="20"/>
                <w:szCs w:val="20"/>
              </w:rPr>
            </w:pPr>
            <w:r w:rsidRPr="0032126B">
              <w:rPr>
                <w:sz w:val="20"/>
                <w:szCs w:val="20"/>
              </w:rPr>
              <w:t>1</w:t>
            </w:r>
          </w:p>
        </w:tc>
        <w:tc>
          <w:tcPr>
            <w:tcW w:w="1184" w:type="dxa"/>
            <w:noWrap/>
            <w:vAlign w:val="center"/>
            <w:hideMark/>
          </w:tcPr>
          <w:p w14:paraId="217CC2D1" w14:textId="77777777" w:rsidR="0085272D" w:rsidRPr="0032126B" w:rsidRDefault="0085272D" w:rsidP="00C729CD">
            <w:pPr>
              <w:jc w:val="center"/>
              <w:rPr>
                <w:sz w:val="20"/>
                <w:szCs w:val="20"/>
              </w:rPr>
            </w:pPr>
            <w:r w:rsidRPr="0032126B">
              <w:rPr>
                <w:sz w:val="20"/>
                <w:szCs w:val="20"/>
              </w:rPr>
              <w:t>1</w:t>
            </w:r>
          </w:p>
        </w:tc>
        <w:tc>
          <w:tcPr>
            <w:tcW w:w="1183" w:type="dxa"/>
            <w:noWrap/>
            <w:vAlign w:val="center"/>
            <w:hideMark/>
          </w:tcPr>
          <w:p w14:paraId="4A4A87CB" w14:textId="77777777" w:rsidR="0085272D" w:rsidRPr="0032126B" w:rsidRDefault="0085272D" w:rsidP="00C729CD">
            <w:pPr>
              <w:jc w:val="center"/>
              <w:rPr>
                <w:sz w:val="20"/>
                <w:szCs w:val="20"/>
              </w:rPr>
            </w:pPr>
            <w:r w:rsidRPr="0032126B">
              <w:rPr>
                <w:sz w:val="20"/>
                <w:szCs w:val="20"/>
              </w:rPr>
              <w:t>3</w:t>
            </w:r>
          </w:p>
        </w:tc>
        <w:tc>
          <w:tcPr>
            <w:tcW w:w="1400" w:type="dxa"/>
            <w:noWrap/>
            <w:vAlign w:val="center"/>
            <w:hideMark/>
          </w:tcPr>
          <w:p w14:paraId="2848559B" w14:textId="77777777" w:rsidR="0085272D" w:rsidRPr="0032126B" w:rsidRDefault="0085272D" w:rsidP="00C729CD">
            <w:pPr>
              <w:jc w:val="center"/>
              <w:rPr>
                <w:sz w:val="20"/>
                <w:szCs w:val="20"/>
              </w:rPr>
            </w:pPr>
            <w:r w:rsidRPr="0032126B">
              <w:rPr>
                <w:sz w:val="20"/>
                <w:szCs w:val="20"/>
              </w:rPr>
              <w:t>4</w:t>
            </w:r>
          </w:p>
        </w:tc>
      </w:tr>
    </w:tbl>
    <w:p w14:paraId="44724752" w14:textId="77777777" w:rsidR="0085272D" w:rsidRDefault="0085272D" w:rsidP="0085272D">
      <w:pPr>
        <w:rPr>
          <w:rFonts w:ascii="Times New Roman" w:hAnsi="Times New Roman" w:cs="Times New Roman"/>
          <w:i/>
          <w:iCs/>
        </w:rPr>
      </w:pPr>
    </w:p>
    <w:p w14:paraId="6F26FC1D" w14:textId="77777777" w:rsidR="0085272D" w:rsidRDefault="0085272D" w:rsidP="0085272D">
      <w:pPr>
        <w:rPr>
          <w:rFonts w:ascii="Times New Roman" w:hAnsi="Times New Roman" w:cs="Times New Roman"/>
          <w:vertAlign w:val="superscript"/>
        </w:rPr>
      </w:pPr>
      <w:r w:rsidRPr="008E19EC">
        <w:rPr>
          <w:rFonts w:ascii="Times New Roman" w:hAnsi="Times New Roman" w:cs="Times New Roman"/>
          <w:i/>
          <w:iCs/>
        </w:rPr>
        <w:t>Risk</w:t>
      </w:r>
      <w:r w:rsidRPr="008E19EC">
        <w:rPr>
          <w:rFonts w:ascii="Times New Roman" w:hAnsi="Times New Roman" w:cs="Times New Roman"/>
        </w:rPr>
        <w:t xml:space="preserve"> = </w:t>
      </w:r>
      <w:r w:rsidRPr="008E19EC">
        <w:rPr>
          <w:rFonts w:ascii="Times New Roman" w:hAnsi="Times New Roman" w:cs="Times New Roman"/>
          <w:i/>
          <w:iCs/>
        </w:rPr>
        <w:t>SS</w:t>
      </w:r>
      <w:r w:rsidRPr="008E19EC">
        <w:rPr>
          <w:rFonts w:ascii="Times New Roman" w:hAnsi="Times New Roman" w:cs="Times New Roman"/>
        </w:rPr>
        <w:t xml:space="preserve"> x </w:t>
      </w:r>
      <w:r w:rsidRPr="008E19EC">
        <w:rPr>
          <w:rFonts w:ascii="Times New Roman" w:hAnsi="Times New Roman" w:cs="Times New Roman"/>
          <w:i/>
          <w:iCs/>
        </w:rPr>
        <w:t>TS</w:t>
      </w:r>
      <w:r w:rsidRPr="008E19EC">
        <w:rPr>
          <w:rFonts w:ascii="Times New Roman" w:hAnsi="Times New Roman" w:cs="Times New Roman"/>
        </w:rPr>
        <w:t xml:space="preserve"> x </w:t>
      </w:r>
      <w:r>
        <w:rPr>
          <w:rFonts w:ascii="Times New Roman" w:hAnsi="Times New Roman" w:cs="Times New Roman"/>
          <w:i/>
          <w:iCs/>
        </w:rPr>
        <w:t>L</w:t>
      </w:r>
      <w:r w:rsidRPr="008E19EC">
        <w:rPr>
          <w:rFonts w:ascii="Times New Roman" w:hAnsi="Times New Roman" w:cs="Times New Roman"/>
        </w:rPr>
        <w:t xml:space="preserve"> x </w:t>
      </w:r>
      <w:r w:rsidRPr="008E19EC">
        <w:rPr>
          <w:rFonts w:ascii="Times New Roman" w:hAnsi="Times New Roman" w:cs="Times New Roman"/>
          <w:i/>
          <w:iCs/>
        </w:rPr>
        <w:t>C</w:t>
      </w:r>
      <w:r>
        <w:rPr>
          <w:rFonts w:ascii="Times New Roman" w:hAnsi="Times New Roman" w:cs="Times New Roman"/>
          <w:vertAlign w:val="superscript"/>
        </w:rPr>
        <w:t>2</w:t>
      </w:r>
    </w:p>
    <w:p w14:paraId="45A2D0E2" w14:textId="77777777" w:rsidR="0085272D" w:rsidRPr="0032126B" w:rsidRDefault="0085272D" w:rsidP="0085272D">
      <w:pPr>
        <w:rPr>
          <w:rFonts w:ascii="Times New Roman" w:hAnsi="Times New Roman" w:cs="Times New Roman"/>
          <w:i/>
        </w:rPr>
      </w:pPr>
      <w:r w:rsidRPr="0032126B">
        <w:rPr>
          <w:rFonts w:ascii="Times New Roman" w:hAnsi="Times New Roman" w:cs="Times New Roman"/>
          <w:i/>
        </w:rPr>
        <w:t>Risk = 1 x 1 x 3 x 4</w:t>
      </w:r>
      <w:r w:rsidRPr="0032126B">
        <w:rPr>
          <w:rFonts w:ascii="Times New Roman" w:hAnsi="Times New Roman" w:cs="Times New Roman"/>
          <w:i/>
          <w:vertAlign w:val="superscript"/>
        </w:rPr>
        <w:t>2</w:t>
      </w:r>
      <w:r>
        <w:rPr>
          <w:rFonts w:ascii="Times New Roman" w:hAnsi="Times New Roman" w:cs="Times New Roman"/>
          <w:i/>
        </w:rPr>
        <w:t>= 48</w:t>
      </w:r>
    </w:p>
    <w:p w14:paraId="12343AC2" w14:textId="77777777" w:rsidR="0085272D" w:rsidRDefault="0085272D" w:rsidP="0085272D">
      <w:pPr>
        <w:rPr>
          <w:rFonts w:ascii="Times New Roman" w:hAnsi="Times New Roman" w:cs="Times New Roman"/>
        </w:rPr>
      </w:pPr>
      <w:r>
        <w:rPr>
          <w:rFonts w:ascii="Times New Roman" w:hAnsi="Times New Roman" w:cs="Times New Roman"/>
        </w:rPr>
        <w:t>However, with Monte Carlo simulation applied to each variable, the uncertainty value for each variable would be utilized as described in the Scoring Uncertainty section above. The arrays for each variable would be combined into a resultant array of the final cumulative estimate of risk. For the current example, the risk to Cassin’s auklet from sea level rise was estimated to be 63.7 (38.5 – 115.8).</w:t>
      </w:r>
    </w:p>
    <w:sectPr w:rsidR="0085272D" w:rsidSect="008A7B3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5B"/>
    <w:rsid w:val="001927DD"/>
    <w:rsid w:val="0032126B"/>
    <w:rsid w:val="00397C8F"/>
    <w:rsid w:val="0085272D"/>
    <w:rsid w:val="008A7B3C"/>
    <w:rsid w:val="00C729CD"/>
    <w:rsid w:val="00D85E5B"/>
    <w:rsid w:val="00E42165"/>
    <w:rsid w:val="00ED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4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5B"/>
    <w:pPr>
      <w:spacing w:after="160" w:line="259" w:lineRule="auto"/>
    </w:pPr>
    <w:rPr>
      <w:rFonts w:eastAsiaTheme="minorEastAsia"/>
      <w:lang w:val="en-CA" w:eastAsia="en-CA"/>
    </w:rPr>
  </w:style>
  <w:style w:type="paragraph" w:styleId="Heading1">
    <w:name w:val="heading 1"/>
    <w:basedOn w:val="Normal"/>
    <w:next w:val="Normal"/>
    <w:link w:val="Heading1Char"/>
    <w:uiPriority w:val="9"/>
    <w:qFormat/>
    <w:rsid w:val="00D85E5B"/>
    <w:pPr>
      <w:keepNext/>
      <w:keepLines/>
      <w:spacing w:before="320" w:after="0" w:line="240" w:lineRule="auto"/>
      <w:outlineLvl w:val="0"/>
    </w:pPr>
    <w:rPr>
      <w:rFonts w:asciiTheme="majorHAnsi" w:eastAsiaTheme="majorEastAsia" w:hAnsiTheme="majorHAnsi" w:cstheme="majorBidi"/>
      <w:color w:val="365F91" w:themeColor="accent1" w:themeShade="BF"/>
      <w:sz w:val="32"/>
      <w:szCs w:val="30"/>
    </w:rPr>
  </w:style>
  <w:style w:type="paragraph" w:styleId="Heading2">
    <w:name w:val="heading 2"/>
    <w:basedOn w:val="Normal"/>
    <w:next w:val="Normal"/>
    <w:link w:val="Heading2Char"/>
    <w:uiPriority w:val="9"/>
    <w:unhideWhenUsed/>
    <w:qFormat/>
    <w:rsid w:val="00D85E5B"/>
    <w:pPr>
      <w:keepNext/>
      <w:keepLines/>
      <w:spacing w:before="40" w:after="0" w:line="240" w:lineRule="auto"/>
      <w:outlineLvl w:val="1"/>
    </w:pPr>
    <w:rPr>
      <w:rFonts w:asciiTheme="majorHAnsi" w:eastAsiaTheme="majorEastAsia" w:hAnsiTheme="majorHAnsi" w:cstheme="majorBidi"/>
      <w:color w:val="365F91" w:themeColor="accent1" w:themeShade="BF"/>
      <w:sz w:val="24"/>
      <w:szCs w:val="28"/>
    </w:rPr>
  </w:style>
  <w:style w:type="paragraph" w:styleId="Heading3">
    <w:name w:val="heading 3"/>
    <w:basedOn w:val="Normal"/>
    <w:next w:val="Normal"/>
    <w:link w:val="Heading3Char"/>
    <w:uiPriority w:val="9"/>
    <w:unhideWhenUsed/>
    <w:qFormat/>
    <w:rsid w:val="00D85E5B"/>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E5B"/>
    <w:rPr>
      <w:rFonts w:asciiTheme="majorHAnsi" w:eastAsiaTheme="majorEastAsia" w:hAnsiTheme="majorHAnsi" w:cstheme="majorBidi"/>
      <w:color w:val="365F91" w:themeColor="accent1" w:themeShade="BF"/>
      <w:sz w:val="32"/>
      <w:szCs w:val="30"/>
      <w:lang w:val="en-CA" w:eastAsia="en-CA"/>
    </w:rPr>
  </w:style>
  <w:style w:type="character" w:customStyle="1" w:styleId="Heading2Char">
    <w:name w:val="Heading 2 Char"/>
    <w:basedOn w:val="DefaultParagraphFont"/>
    <w:link w:val="Heading2"/>
    <w:uiPriority w:val="9"/>
    <w:rsid w:val="00D85E5B"/>
    <w:rPr>
      <w:rFonts w:asciiTheme="majorHAnsi" w:eastAsiaTheme="majorEastAsia" w:hAnsiTheme="majorHAnsi" w:cstheme="majorBidi"/>
      <w:color w:val="365F91" w:themeColor="accent1" w:themeShade="BF"/>
      <w:sz w:val="24"/>
      <w:szCs w:val="28"/>
      <w:lang w:val="en-CA" w:eastAsia="en-CA"/>
    </w:rPr>
  </w:style>
  <w:style w:type="character" w:customStyle="1" w:styleId="Heading3Char">
    <w:name w:val="Heading 3 Char"/>
    <w:basedOn w:val="DefaultParagraphFont"/>
    <w:link w:val="Heading3"/>
    <w:uiPriority w:val="9"/>
    <w:rsid w:val="00D85E5B"/>
    <w:rPr>
      <w:rFonts w:asciiTheme="majorHAnsi" w:eastAsiaTheme="majorEastAsia" w:hAnsiTheme="majorHAnsi" w:cstheme="majorBidi"/>
      <w:color w:val="E36C0A" w:themeColor="accent6" w:themeShade="BF"/>
      <w:sz w:val="26"/>
      <w:szCs w:val="26"/>
      <w:lang w:val="en-CA" w:eastAsia="en-CA"/>
    </w:rPr>
  </w:style>
  <w:style w:type="paragraph" w:styleId="Caption">
    <w:name w:val="caption"/>
    <w:basedOn w:val="Normal"/>
    <w:next w:val="Normal"/>
    <w:link w:val="CaptionChar"/>
    <w:unhideWhenUsed/>
    <w:qFormat/>
    <w:rsid w:val="00D85E5B"/>
    <w:pPr>
      <w:spacing w:line="240" w:lineRule="auto"/>
    </w:pPr>
    <w:rPr>
      <w:b/>
      <w:bCs/>
      <w:smallCaps/>
      <w:color w:val="4F81BD" w:themeColor="accent1"/>
      <w:spacing w:val="6"/>
    </w:rPr>
  </w:style>
  <w:style w:type="character" w:customStyle="1" w:styleId="CaptionChar">
    <w:name w:val="Caption Char"/>
    <w:link w:val="Caption"/>
    <w:rsid w:val="00D85E5B"/>
    <w:rPr>
      <w:rFonts w:eastAsiaTheme="minorEastAsia"/>
      <w:b/>
      <w:bCs/>
      <w:smallCaps/>
      <w:color w:val="4F81BD" w:themeColor="accent1"/>
      <w:spacing w:val="6"/>
      <w:lang w:val="en-CA" w:eastAsia="en-CA"/>
    </w:rPr>
  </w:style>
  <w:style w:type="character" w:styleId="LineNumber">
    <w:name w:val="line number"/>
    <w:basedOn w:val="DefaultParagraphFont"/>
    <w:uiPriority w:val="99"/>
    <w:semiHidden/>
    <w:unhideWhenUsed/>
    <w:rsid w:val="008A7B3C"/>
  </w:style>
  <w:style w:type="table" w:styleId="TableGrid">
    <w:name w:val="Table Grid"/>
    <w:basedOn w:val="TableNormal"/>
    <w:uiPriority w:val="59"/>
    <w:rsid w:val="00321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2D"/>
    <w:rPr>
      <w:rFonts w:ascii="Tahoma" w:eastAsiaTheme="minorEastAsi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5B"/>
    <w:pPr>
      <w:spacing w:after="160" w:line="259" w:lineRule="auto"/>
    </w:pPr>
    <w:rPr>
      <w:rFonts w:eastAsiaTheme="minorEastAsia"/>
      <w:lang w:val="en-CA" w:eastAsia="en-CA"/>
    </w:rPr>
  </w:style>
  <w:style w:type="paragraph" w:styleId="Heading1">
    <w:name w:val="heading 1"/>
    <w:basedOn w:val="Normal"/>
    <w:next w:val="Normal"/>
    <w:link w:val="Heading1Char"/>
    <w:uiPriority w:val="9"/>
    <w:qFormat/>
    <w:rsid w:val="00D85E5B"/>
    <w:pPr>
      <w:keepNext/>
      <w:keepLines/>
      <w:spacing w:before="320" w:after="0" w:line="240" w:lineRule="auto"/>
      <w:outlineLvl w:val="0"/>
    </w:pPr>
    <w:rPr>
      <w:rFonts w:asciiTheme="majorHAnsi" w:eastAsiaTheme="majorEastAsia" w:hAnsiTheme="majorHAnsi" w:cstheme="majorBidi"/>
      <w:color w:val="365F91" w:themeColor="accent1" w:themeShade="BF"/>
      <w:sz w:val="32"/>
      <w:szCs w:val="30"/>
    </w:rPr>
  </w:style>
  <w:style w:type="paragraph" w:styleId="Heading2">
    <w:name w:val="heading 2"/>
    <w:basedOn w:val="Normal"/>
    <w:next w:val="Normal"/>
    <w:link w:val="Heading2Char"/>
    <w:uiPriority w:val="9"/>
    <w:unhideWhenUsed/>
    <w:qFormat/>
    <w:rsid w:val="00D85E5B"/>
    <w:pPr>
      <w:keepNext/>
      <w:keepLines/>
      <w:spacing w:before="40" w:after="0" w:line="240" w:lineRule="auto"/>
      <w:outlineLvl w:val="1"/>
    </w:pPr>
    <w:rPr>
      <w:rFonts w:asciiTheme="majorHAnsi" w:eastAsiaTheme="majorEastAsia" w:hAnsiTheme="majorHAnsi" w:cstheme="majorBidi"/>
      <w:color w:val="365F91" w:themeColor="accent1" w:themeShade="BF"/>
      <w:sz w:val="24"/>
      <w:szCs w:val="28"/>
    </w:rPr>
  </w:style>
  <w:style w:type="paragraph" w:styleId="Heading3">
    <w:name w:val="heading 3"/>
    <w:basedOn w:val="Normal"/>
    <w:next w:val="Normal"/>
    <w:link w:val="Heading3Char"/>
    <w:uiPriority w:val="9"/>
    <w:unhideWhenUsed/>
    <w:qFormat/>
    <w:rsid w:val="00D85E5B"/>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E5B"/>
    <w:rPr>
      <w:rFonts w:asciiTheme="majorHAnsi" w:eastAsiaTheme="majorEastAsia" w:hAnsiTheme="majorHAnsi" w:cstheme="majorBidi"/>
      <w:color w:val="365F91" w:themeColor="accent1" w:themeShade="BF"/>
      <w:sz w:val="32"/>
      <w:szCs w:val="30"/>
      <w:lang w:val="en-CA" w:eastAsia="en-CA"/>
    </w:rPr>
  </w:style>
  <w:style w:type="character" w:customStyle="1" w:styleId="Heading2Char">
    <w:name w:val="Heading 2 Char"/>
    <w:basedOn w:val="DefaultParagraphFont"/>
    <w:link w:val="Heading2"/>
    <w:uiPriority w:val="9"/>
    <w:rsid w:val="00D85E5B"/>
    <w:rPr>
      <w:rFonts w:asciiTheme="majorHAnsi" w:eastAsiaTheme="majorEastAsia" w:hAnsiTheme="majorHAnsi" w:cstheme="majorBidi"/>
      <w:color w:val="365F91" w:themeColor="accent1" w:themeShade="BF"/>
      <w:sz w:val="24"/>
      <w:szCs w:val="28"/>
      <w:lang w:val="en-CA" w:eastAsia="en-CA"/>
    </w:rPr>
  </w:style>
  <w:style w:type="character" w:customStyle="1" w:styleId="Heading3Char">
    <w:name w:val="Heading 3 Char"/>
    <w:basedOn w:val="DefaultParagraphFont"/>
    <w:link w:val="Heading3"/>
    <w:uiPriority w:val="9"/>
    <w:rsid w:val="00D85E5B"/>
    <w:rPr>
      <w:rFonts w:asciiTheme="majorHAnsi" w:eastAsiaTheme="majorEastAsia" w:hAnsiTheme="majorHAnsi" w:cstheme="majorBidi"/>
      <w:color w:val="E36C0A" w:themeColor="accent6" w:themeShade="BF"/>
      <w:sz w:val="26"/>
      <w:szCs w:val="26"/>
      <w:lang w:val="en-CA" w:eastAsia="en-CA"/>
    </w:rPr>
  </w:style>
  <w:style w:type="paragraph" w:styleId="Caption">
    <w:name w:val="caption"/>
    <w:basedOn w:val="Normal"/>
    <w:next w:val="Normal"/>
    <w:link w:val="CaptionChar"/>
    <w:unhideWhenUsed/>
    <w:qFormat/>
    <w:rsid w:val="00D85E5B"/>
    <w:pPr>
      <w:spacing w:line="240" w:lineRule="auto"/>
    </w:pPr>
    <w:rPr>
      <w:b/>
      <w:bCs/>
      <w:smallCaps/>
      <w:color w:val="4F81BD" w:themeColor="accent1"/>
      <w:spacing w:val="6"/>
    </w:rPr>
  </w:style>
  <w:style w:type="character" w:customStyle="1" w:styleId="CaptionChar">
    <w:name w:val="Caption Char"/>
    <w:link w:val="Caption"/>
    <w:rsid w:val="00D85E5B"/>
    <w:rPr>
      <w:rFonts w:eastAsiaTheme="minorEastAsia"/>
      <w:b/>
      <w:bCs/>
      <w:smallCaps/>
      <w:color w:val="4F81BD" w:themeColor="accent1"/>
      <w:spacing w:val="6"/>
      <w:lang w:val="en-CA" w:eastAsia="en-CA"/>
    </w:rPr>
  </w:style>
  <w:style w:type="character" w:styleId="LineNumber">
    <w:name w:val="line number"/>
    <w:basedOn w:val="DefaultParagraphFont"/>
    <w:uiPriority w:val="99"/>
    <w:semiHidden/>
    <w:unhideWhenUsed/>
    <w:rsid w:val="008A7B3C"/>
  </w:style>
  <w:style w:type="table" w:styleId="TableGrid">
    <w:name w:val="Table Grid"/>
    <w:basedOn w:val="TableNormal"/>
    <w:uiPriority w:val="59"/>
    <w:rsid w:val="00321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2D"/>
    <w:rPr>
      <w:rFonts w:ascii="Tahoma" w:eastAsiaTheme="minorEastAsi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6F58-01A8-4DA5-A16B-26C148BE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Cathryn</cp:lastModifiedBy>
  <cp:revision>5</cp:revision>
  <dcterms:created xsi:type="dcterms:W3CDTF">2016-08-03T18:06:00Z</dcterms:created>
  <dcterms:modified xsi:type="dcterms:W3CDTF">2016-08-26T16:16:00Z</dcterms:modified>
</cp:coreProperties>
</file>