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5" w:type="dxa"/>
        <w:tblLook w:val="04A0" w:firstRow="1" w:lastRow="0" w:firstColumn="1" w:lastColumn="0" w:noHBand="0" w:noVBand="1"/>
      </w:tblPr>
      <w:tblGrid>
        <w:gridCol w:w="1800"/>
        <w:gridCol w:w="990"/>
        <w:gridCol w:w="1800"/>
        <w:gridCol w:w="1723"/>
        <w:gridCol w:w="2522"/>
      </w:tblGrid>
      <w:tr w:rsidR="00F965FB" w:rsidRPr="00F965FB" w:rsidTr="00F965FB">
        <w:trPr>
          <w:trHeight w:val="300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Default="00774BB8" w:rsidP="007E1A47">
            <w:pPr>
              <w:spacing w:line="360" w:lineRule="auto"/>
              <w:ind w:firstLine="0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3236E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 xml:space="preserve">S2 </w:t>
            </w:r>
            <w:r w:rsidR="00F965FB" w:rsidRPr="003236E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>Table.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 Olf</w:t>
            </w:r>
            <w:r w:rsidR="00B828B6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actometer preliminary study of </w:t>
            </w:r>
            <w:bookmarkStart w:id="0" w:name="_GoBack"/>
            <w:bookmarkEnd w:id="0"/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dsRNA RferOrco</w:t>
            </w:r>
            <w:r w:rsidR="00006B2E">
              <w:rPr>
                <w:rFonts w:eastAsia="Times New Roman" w:cstheme="majorBidi"/>
                <w:color w:val="000000"/>
                <w:szCs w:val="24"/>
                <w:lang w:val="en-US"/>
              </w:rPr>
              <w:t>-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injected (dsRNA), </w:t>
            </w:r>
            <w:r w:rsidR="00006B2E">
              <w:rPr>
                <w:rFonts w:eastAsia="Times New Roman" w:cstheme="majorBidi"/>
                <w:color w:val="000000"/>
                <w:szCs w:val="24"/>
                <w:lang w:val="en-US"/>
              </w:rPr>
              <w:t>n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uclease </w:t>
            </w:r>
            <w:r w:rsidR="00006B2E">
              <w:rPr>
                <w:rFonts w:eastAsia="Times New Roman" w:cstheme="majorBidi"/>
                <w:color w:val="000000"/>
                <w:szCs w:val="24"/>
                <w:lang w:val="en-US"/>
              </w:rPr>
              <w:t>f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ree </w:t>
            </w:r>
            <w:r w:rsidR="00006B2E">
              <w:rPr>
                <w:rFonts w:eastAsia="Times New Roman" w:cstheme="majorBidi"/>
                <w:color w:val="000000"/>
                <w:szCs w:val="24"/>
                <w:lang w:val="en-US"/>
              </w:rPr>
              <w:t>w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ater (NFW) and  no-injection (</w:t>
            </w:r>
            <w:r w:rsidR="00CC7875">
              <w:rPr>
                <w:rFonts w:eastAsia="Times New Roman" w:cstheme="majorBidi"/>
                <w:color w:val="000000"/>
                <w:szCs w:val="24"/>
                <w:lang w:val="en-US"/>
              </w:rPr>
              <w:t>NI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) RPW </w:t>
            </w:r>
            <w:r w:rsidR="00844F99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attraction percentage 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to either stimulus</w:t>
            </w:r>
            <w:r w:rsidR="00813457">
              <w:rPr>
                <w:shd w:val="clear" w:color="auto" w:fill="FFFFFF"/>
                <w:lang w:val="en-US"/>
              </w:rPr>
              <w:t xml:space="preserve"> [</w:t>
            </w:r>
            <w:r w:rsidR="00813457" w:rsidRPr="007F70E1">
              <w:rPr>
                <w:shd w:val="clear" w:color="auto" w:fill="FFFFFF"/>
                <w:lang w:val="en-US"/>
              </w:rPr>
              <w:t>commercial aggregation pheromone</w:t>
            </w:r>
            <w:r w:rsidR="00813457">
              <w:rPr>
                <w:shd w:val="clear" w:color="auto" w:fill="FFFFFF"/>
                <w:lang w:val="en-US"/>
              </w:rPr>
              <w:t xml:space="preserve"> (ChemTica Int. Costa Rica)</w:t>
            </w:r>
            <w:r w:rsidR="00813457" w:rsidRPr="007F70E1">
              <w:rPr>
                <w:shd w:val="clear" w:color="auto" w:fill="FFFFFF"/>
                <w:lang w:val="en-US"/>
              </w:rPr>
              <w:t>,</w:t>
            </w:r>
            <w:r w:rsidR="00813457">
              <w:rPr>
                <w:shd w:val="clear" w:color="auto" w:fill="FFFFFF"/>
                <w:lang w:val="en-US"/>
              </w:rPr>
              <w:t xml:space="preserve"> and</w:t>
            </w:r>
            <w:r w:rsidR="00813457" w:rsidRPr="007F70E1">
              <w:rPr>
                <w:shd w:val="clear" w:color="auto" w:fill="FFFFFF"/>
                <w:lang w:val="en-US"/>
              </w:rPr>
              <w:t xml:space="preserve"> ethyl acetate</w:t>
            </w:r>
            <w:r w:rsidR="00813457">
              <w:rPr>
                <w:shd w:val="clear" w:color="auto" w:fill="FFFFFF"/>
                <w:lang w:val="en-US"/>
              </w:rPr>
              <w:t>]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, Air or No response (at the re</w:t>
            </w:r>
            <w:r w:rsidR="00586615">
              <w:rPr>
                <w:rFonts w:eastAsia="Times New Roman" w:cstheme="majorBidi"/>
                <w:color w:val="000000"/>
                <w:szCs w:val="24"/>
                <w:lang w:val="en-US"/>
              </w:rPr>
              <w:t>lease point during the observation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 period,</w:t>
            </w:r>
            <w:r w:rsidR="008E523D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 </w:t>
            </w:r>
            <w:r w:rsidR="007E1A47">
              <w:rPr>
                <w:rFonts w:eastAsia="Times New Roman" w:cstheme="majorBidi"/>
                <w:color w:val="000000"/>
                <w:szCs w:val="24"/>
                <w:lang w:val="en-US"/>
              </w:rPr>
              <w:t>~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6 minute</w:t>
            </w:r>
            <w:r w:rsidR="00586615">
              <w:rPr>
                <w:rFonts w:eastAsia="Times New Roman" w:cstheme="majorBidi"/>
                <w:color w:val="000000"/>
                <w:szCs w:val="24"/>
                <w:lang w:val="en-US"/>
              </w:rPr>
              <w:t>s</w:t>
            </w:r>
            <w:r w:rsidR="00F965FB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)</w:t>
            </w:r>
            <w:r w:rsidR="00CC7875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 (Mean </w:t>
            </w:r>
            <w:r w:rsidR="00CC7875"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±</w:t>
            </w:r>
            <w:r w:rsidR="00CC7875">
              <w:rPr>
                <w:rFonts w:eastAsia="Times New Roman" w:cstheme="majorBidi"/>
                <w:color w:val="000000"/>
                <w:szCs w:val="24"/>
                <w:lang w:val="en-US"/>
              </w:rPr>
              <w:t xml:space="preserve"> SEM)</w:t>
            </w:r>
            <w:r w:rsidR="00B73793" w:rsidRPr="00B73793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1</w:t>
            </w:r>
            <w:r w:rsidR="00CC7875">
              <w:rPr>
                <w:rFonts w:eastAsia="Times New Roman" w:cstheme="majorBidi"/>
                <w:color w:val="000000"/>
                <w:szCs w:val="24"/>
                <w:lang w:val="en-US"/>
              </w:rPr>
              <w:t>.</w:t>
            </w:r>
          </w:p>
          <w:p w:rsidR="001E5B99" w:rsidRPr="00F965FB" w:rsidRDefault="001E5B99" w:rsidP="00774BB8">
            <w:pPr>
              <w:spacing w:line="360" w:lineRule="auto"/>
              <w:ind w:firstLine="0"/>
              <w:rPr>
                <w:rFonts w:eastAsia="Times New Roman" w:cstheme="majorBidi"/>
                <w:color w:val="000000"/>
                <w:szCs w:val="24"/>
                <w:lang w:val="en-US"/>
              </w:rPr>
            </w:pPr>
          </w:p>
        </w:tc>
      </w:tr>
      <w:tr w:rsidR="00F965FB" w:rsidRPr="00684EA4" w:rsidTr="00F965F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684EA4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</w:pPr>
            <w:r w:rsidRPr="00684EA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>Treatments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684EA4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</w:pPr>
            <w:r w:rsidRPr="00684EA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684EA4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</w:pPr>
            <w:r w:rsidRPr="00684EA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>Stimulus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684EA4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</w:pPr>
            <w:r w:rsidRPr="00684EA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>Air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684EA4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</w:pPr>
            <w:r w:rsidRPr="00684EA4">
              <w:rPr>
                <w:rFonts w:eastAsia="Times New Roman" w:cstheme="majorBidi"/>
                <w:b/>
                <w:bCs/>
                <w:color w:val="000000"/>
                <w:szCs w:val="24"/>
                <w:lang w:val="en-US"/>
              </w:rPr>
              <w:t>No response</w:t>
            </w:r>
          </w:p>
        </w:tc>
      </w:tr>
      <w:tr w:rsidR="00F965FB" w:rsidRPr="00F965FB" w:rsidTr="00F965F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CC7875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>
              <w:rPr>
                <w:rFonts w:eastAsia="Times New Roman" w:cstheme="majorBidi"/>
                <w:color w:val="000000"/>
                <w:szCs w:val="24"/>
                <w:lang w:val="en-US"/>
              </w:rPr>
              <w:t>NI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70 ± 15.3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20 ± 13.3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10 ± 10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ab</w:t>
            </w:r>
          </w:p>
        </w:tc>
      </w:tr>
      <w:tr w:rsidR="00F965FB" w:rsidRPr="00F965FB" w:rsidTr="00F965F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NFW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60 ± 24.5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40 ± 24.5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0 ± 0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b</w:t>
            </w:r>
          </w:p>
        </w:tc>
      </w:tr>
      <w:tr w:rsidR="00F965FB" w:rsidRPr="00F965FB" w:rsidTr="00932B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dsRNA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12.5 ± 8.5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31.3 ± 12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FB" w:rsidRPr="00F965FB" w:rsidRDefault="00F965FB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F965FB">
              <w:rPr>
                <w:rFonts w:eastAsia="Times New Roman" w:cstheme="majorBidi"/>
                <w:color w:val="000000"/>
                <w:szCs w:val="24"/>
                <w:lang w:val="en-US"/>
              </w:rPr>
              <w:t>56.3 ± 12.8</w:t>
            </w:r>
            <w:r w:rsidRPr="00B73A9E">
              <w:rPr>
                <w:rFonts w:eastAsia="Times New Roman" w:cstheme="majorBidi"/>
                <w:color w:val="000000"/>
                <w:szCs w:val="24"/>
                <w:vertAlign w:val="superscript"/>
                <w:lang w:val="en-US"/>
              </w:rPr>
              <w:t>a</w:t>
            </w:r>
          </w:p>
        </w:tc>
      </w:tr>
      <w:tr w:rsidR="00CC7875" w:rsidRPr="00F965FB" w:rsidTr="00F965FB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875" w:rsidRPr="00F965FB" w:rsidRDefault="00CC7875" w:rsidP="007251EA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 w:rsidRPr="007251EA">
              <w:rPr>
                <w:rFonts w:eastAsia="Times New Roman" w:cstheme="majorBidi"/>
                <w:i/>
                <w:iCs/>
                <w:color w:val="000000"/>
                <w:szCs w:val="24"/>
                <w:lang w:val="en-US"/>
              </w:rPr>
              <w:t>P</w:t>
            </w:r>
            <w:r w:rsidR="007251EA">
              <w:rPr>
                <w:rFonts w:eastAsia="Times New Roman" w:cstheme="majorBidi"/>
                <w:i/>
                <w:iCs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eastAsia="Times New Roman" w:cstheme="majorBidi"/>
                <w:color w:val="000000"/>
                <w:szCs w:val="24"/>
                <w:lang w:val="en-US"/>
              </w:rPr>
              <w:t>value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875" w:rsidRPr="00F965FB" w:rsidRDefault="00CC7875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875" w:rsidRPr="00F965FB" w:rsidRDefault="00CC7875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>
              <w:rPr>
                <w:rFonts w:eastAsia="Times New Roman" w:cstheme="majorBidi"/>
                <w:color w:val="000000"/>
                <w:szCs w:val="24"/>
                <w:lang w:val="en-US"/>
              </w:rPr>
              <w:t>0.0052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875" w:rsidRPr="00F965FB" w:rsidRDefault="00CC7875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>
              <w:rPr>
                <w:rFonts w:eastAsia="Times New Roman" w:cstheme="majorBidi"/>
                <w:color w:val="000000"/>
                <w:szCs w:val="24"/>
                <w:lang w:val="en-US"/>
              </w:rPr>
              <w:t>0.7176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7875" w:rsidRPr="00F965FB" w:rsidRDefault="00CC7875" w:rsidP="00F965FB">
            <w:pPr>
              <w:spacing w:line="360" w:lineRule="auto"/>
              <w:ind w:firstLine="0"/>
              <w:jc w:val="left"/>
              <w:rPr>
                <w:rFonts w:eastAsia="Times New Roman" w:cstheme="majorBidi"/>
                <w:color w:val="000000"/>
                <w:szCs w:val="24"/>
                <w:lang w:val="en-US"/>
              </w:rPr>
            </w:pPr>
            <w:r>
              <w:rPr>
                <w:rFonts w:eastAsia="Times New Roman" w:cstheme="majorBidi"/>
                <w:color w:val="000000"/>
                <w:szCs w:val="24"/>
                <w:lang w:val="en-US"/>
              </w:rPr>
              <w:t>0.009</w:t>
            </w:r>
          </w:p>
        </w:tc>
      </w:tr>
    </w:tbl>
    <w:p w:rsidR="00F965FB" w:rsidRPr="007F70E1" w:rsidRDefault="00F965FB" w:rsidP="00BC75D3">
      <w:pPr>
        <w:pStyle w:val="NoSpacing"/>
        <w:ind w:hanging="90"/>
        <w:rPr>
          <w:lang w:val="en-US"/>
        </w:rPr>
      </w:pPr>
      <w:r w:rsidRPr="007F70E1">
        <w:rPr>
          <w:vertAlign w:val="superscript"/>
          <w:lang w:val="en-US"/>
        </w:rPr>
        <w:t xml:space="preserve">1 </w:t>
      </w:r>
      <w:r w:rsidRPr="00265073">
        <w:rPr>
          <w:sz w:val="22"/>
          <w:szCs w:val="20"/>
          <w:lang w:val="en-US"/>
        </w:rPr>
        <w:t xml:space="preserve">Different letters within the same column indicate that the values were significantly different (Tukey’s HSD test at </w:t>
      </w:r>
      <w:r w:rsidRPr="00265073">
        <w:rPr>
          <w:i/>
          <w:sz w:val="22"/>
          <w:szCs w:val="20"/>
          <w:lang w:val="en-US"/>
        </w:rPr>
        <w:t>P</w:t>
      </w:r>
      <w:r w:rsidRPr="00265073">
        <w:rPr>
          <w:sz w:val="22"/>
          <w:szCs w:val="20"/>
          <w:lang w:val="en-US"/>
        </w:rPr>
        <w:t xml:space="preserve"> &lt; 0.05)</w:t>
      </w:r>
      <w:r w:rsidR="00BC75D3">
        <w:rPr>
          <w:sz w:val="22"/>
          <w:szCs w:val="20"/>
          <w:lang w:val="en-US"/>
        </w:rPr>
        <w:t xml:space="preserve">. N represent the </w:t>
      </w:r>
      <w:r w:rsidR="00FE0D7F">
        <w:rPr>
          <w:sz w:val="22"/>
          <w:szCs w:val="20"/>
          <w:lang w:val="en-US"/>
        </w:rPr>
        <w:t>individual</w:t>
      </w:r>
      <w:r w:rsidR="00BC75D3">
        <w:rPr>
          <w:sz w:val="22"/>
          <w:szCs w:val="20"/>
          <w:lang w:val="en-US"/>
        </w:rPr>
        <w:t xml:space="preserve"> number.</w:t>
      </w:r>
    </w:p>
    <w:p w:rsidR="00F965FB" w:rsidRDefault="00F965FB" w:rsidP="00265073">
      <w:pPr>
        <w:ind w:firstLine="0"/>
        <w:rPr>
          <w:lang w:val="en-US"/>
        </w:rPr>
      </w:pPr>
    </w:p>
    <w:p w:rsidR="004F327E" w:rsidRPr="00CC7875" w:rsidRDefault="004F327E" w:rsidP="00265073">
      <w:pPr>
        <w:ind w:firstLine="0"/>
        <w:rPr>
          <w:lang w:val="en-US"/>
        </w:rPr>
      </w:pPr>
    </w:p>
    <w:p w:rsidR="00844F99" w:rsidRDefault="00844F99" w:rsidP="00265073">
      <w:pPr>
        <w:ind w:firstLine="0"/>
        <w:rPr>
          <w:lang w:val="en-US"/>
        </w:rPr>
      </w:pPr>
    </w:p>
    <w:p w:rsidR="00844F99" w:rsidRPr="00265073" w:rsidRDefault="00844F99" w:rsidP="00265073">
      <w:pPr>
        <w:ind w:firstLine="0"/>
        <w:rPr>
          <w:lang w:val="en-US"/>
        </w:rPr>
      </w:pPr>
    </w:p>
    <w:sectPr w:rsidR="00844F99" w:rsidRPr="002650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73"/>
    <w:rsid w:val="00006B2E"/>
    <w:rsid w:val="00135C4F"/>
    <w:rsid w:val="001E5B99"/>
    <w:rsid w:val="00265073"/>
    <w:rsid w:val="003236E4"/>
    <w:rsid w:val="004F327E"/>
    <w:rsid w:val="00544B3E"/>
    <w:rsid w:val="00586615"/>
    <w:rsid w:val="00684EA4"/>
    <w:rsid w:val="007251EA"/>
    <w:rsid w:val="00725F6E"/>
    <w:rsid w:val="00774BB8"/>
    <w:rsid w:val="007E1A47"/>
    <w:rsid w:val="00813457"/>
    <w:rsid w:val="00844F99"/>
    <w:rsid w:val="008E523D"/>
    <w:rsid w:val="00923E0B"/>
    <w:rsid w:val="00932BF0"/>
    <w:rsid w:val="00AF10DA"/>
    <w:rsid w:val="00B73793"/>
    <w:rsid w:val="00B73A9E"/>
    <w:rsid w:val="00B828B6"/>
    <w:rsid w:val="00BC75D3"/>
    <w:rsid w:val="00CC7875"/>
    <w:rsid w:val="00D3651E"/>
    <w:rsid w:val="00F965FB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78F30-CFA6-408E-A25C-FB0FF667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073"/>
    <w:pPr>
      <w:spacing w:after="0" w:line="480" w:lineRule="auto"/>
      <w:ind w:firstLine="720"/>
      <w:jc w:val="both"/>
    </w:pPr>
    <w:rPr>
      <w:rFonts w:asciiTheme="majorBidi" w:hAnsiTheme="maj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073"/>
    <w:pPr>
      <w:spacing w:after="0" w:line="240" w:lineRule="auto"/>
      <w:ind w:firstLine="720"/>
      <w:jc w:val="both"/>
    </w:pPr>
    <w:rPr>
      <w:rFonts w:asciiTheme="majorBidi" w:hAnsiTheme="majorBidi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 high</dc:creator>
  <cp:keywords/>
  <dc:description/>
  <cp:lastModifiedBy>Binu Antony</cp:lastModifiedBy>
  <cp:revision>12</cp:revision>
  <dcterms:created xsi:type="dcterms:W3CDTF">2016-07-17T16:13:00Z</dcterms:created>
  <dcterms:modified xsi:type="dcterms:W3CDTF">2016-08-25T07:01:00Z</dcterms:modified>
</cp:coreProperties>
</file>