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2F" w:rsidRPr="007513A9" w:rsidRDefault="000B272F" w:rsidP="000B272F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t>S3 T</w:t>
      </w:r>
      <w:r w:rsidRPr="007513A9">
        <w:rPr>
          <w:b/>
          <w:lang w:val="en-US"/>
        </w:rPr>
        <w:t>able. Baseline characteristics telaprevir and boceprevir treated patients</w:t>
      </w:r>
    </w:p>
    <w:tbl>
      <w:tblPr>
        <w:tblW w:w="8904" w:type="dxa"/>
        <w:tblCellMar>
          <w:left w:w="0" w:type="dxa"/>
          <w:right w:w="0" w:type="dxa"/>
        </w:tblCellMar>
        <w:tblLook w:val="04A0"/>
      </w:tblPr>
      <w:tblGrid>
        <w:gridCol w:w="3516"/>
        <w:gridCol w:w="2048"/>
        <w:gridCol w:w="2048"/>
        <w:gridCol w:w="1292"/>
      </w:tblGrid>
      <w:tr w:rsidR="000B272F" w:rsidRPr="00C367AB" w:rsidTr="0002191F">
        <w:trPr>
          <w:trHeight w:val="259"/>
        </w:trPr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 xml:space="preserve">Characteristic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Telaprevir (n=265)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Boceprevir (n=202)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p-value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(TPR/BOC)</w:t>
            </w:r>
          </w:p>
        </w:tc>
      </w:tr>
      <w:tr w:rsidR="000B272F" w:rsidRPr="00C367AB" w:rsidTr="0002191F">
        <w:trPr>
          <w:trHeight w:val="259"/>
        </w:trPr>
        <w:tc>
          <w:tcPr>
            <w:tcW w:w="35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Age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, y</w:t>
            </w: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 xml:space="preserve"> – mean (range)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51 (19-71)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51 (22-77)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0.8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0B272F" w:rsidRPr="00C367AB" w:rsidTr="0002191F">
        <w:trPr>
          <w:trHeight w:val="259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 xml:space="preserve">Male sex – n (%) 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174 (6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145 (72</w:t>
            </w: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</w:tr>
      <w:tr w:rsidR="000B272F" w:rsidRPr="00C367AB" w:rsidTr="0002191F">
        <w:trPr>
          <w:trHeight w:val="259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White race – n (%)</w:t>
            </w:r>
            <w:r w:rsidRPr="00C367A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a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186 (8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135 (90)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0.43</w:t>
            </w:r>
          </w:p>
        </w:tc>
      </w:tr>
      <w:tr w:rsidR="000B272F" w:rsidRPr="00C367AB" w:rsidTr="0002191F">
        <w:trPr>
          <w:trHeight w:val="793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 xml:space="preserve">HCV genotype – n (%) 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 xml:space="preserve">     Genotype 1 </w:t>
            </w:r>
            <w:proofErr w:type="spellStart"/>
            <w:r w:rsidRPr="00C367AB">
              <w:rPr>
                <w:rFonts w:ascii="Times New Roman" w:hAnsi="Times New Roman" w:cs="Times New Roman"/>
                <w:sz w:val="20"/>
              </w:rPr>
              <w:t>indeterminate</w:t>
            </w:r>
            <w:proofErr w:type="spellEnd"/>
            <w:r w:rsidRPr="00C367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 xml:space="preserve">     Genotype 1a 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 xml:space="preserve">     Genotype 1b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367AB">
              <w:rPr>
                <w:rFonts w:ascii="Times New Roman" w:hAnsi="Times New Roman" w:cs="Times New Roman"/>
                <w:sz w:val="20"/>
              </w:rPr>
              <w:t>1 (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367AB">
              <w:rPr>
                <w:rFonts w:ascii="Times New Roman" w:hAnsi="Times New Roman" w:cs="Times New Roman"/>
                <w:sz w:val="20"/>
              </w:rPr>
              <w:t>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>121 (4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367AB">
              <w:rPr>
                <w:rFonts w:ascii="Times New Roman" w:hAnsi="Times New Roman" w:cs="Times New Roman"/>
                <w:sz w:val="20"/>
              </w:rPr>
              <w:t>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>91 (34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>33 (16)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>105 (52)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>64 (3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367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>0.35</w:t>
            </w:r>
          </w:p>
        </w:tc>
      </w:tr>
      <w:tr w:rsidR="000B272F" w:rsidRPr="00C367AB" w:rsidTr="0002191F">
        <w:trPr>
          <w:trHeight w:val="1412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Previous </w:t>
            </w:r>
            <w:proofErr w:type="spellStart"/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>response</w:t>
            </w:r>
            <w:r w:rsidRPr="00ED2411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b</w:t>
            </w:r>
            <w:proofErr w:type="spellEnd"/>
            <w:r w:rsidRPr="00ED2411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 xml:space="preserve"> </w:t>
            </w: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    Naive </w:t>
            </w:r>
          </w:p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    Relapse </w:t>
            </w:r>
          </w:p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    Nonresponse </w:t>
            </w:r>
          </w:p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    Viral breakthrough </w:t>
            </w:r>
          </w:p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    Early discontinuation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152 (59)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40 (15)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47 (18)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11 (4)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7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121 (61)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36 (18)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31 (1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5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4 (2)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0.70</w:t>
            </w:r>
          </w:p>
        </w:tc>
      </w:tr>
      <w:tr w:rsidR="000B272F" w:rsidRPr="00C367AB" w:rsidTr="0002191F">
        <w:trPr>
          <w:trHeight w:val="65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Decompensated liver disease </w:t>
            </w:r>
            <w:r w:rsidRPr="00ED2411">
              <w:rPr>
                <w:rFonts w:ascii="Times New Roman" w:hAnsi="Times New Roman" w:cs="Times New Roman"/>
                <w:sz w:val="20"/>
              </w:rPr>
              <w:t>– n (%)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12  (5)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12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0.49</w:t>
            </w:r>
          </w:p>
        </w:tc>
      </w:tr>
      <w:tr w:rsidR="000B272F" w:rsidRPr="00C367AB" w:rsidTr="0002191F">
        <w:trPr>
          <w:trHeight w:val="195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97723A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>Metavir score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F3-4</w:t>
            </w:r>
            <w:r w:rsidRPr="00ED2411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c</w:t>
            </w: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96 (52)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>65 (52)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C367AB">
              <w:rPr>
                <w:rFonts w:ascii="Times New Roman" w:hAnsi="Times New Roman" w:cs="Times New Roman"/>
                <w:sz w:val="20"/>
              </w:rPr>
              <w:t>0.9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B272F" w:rsidRPr="00C367AB" w:rsidTr="0002191F">
        <w:trPr>
          <w:trHeight w:val="164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color w:val="808080" w:themeColor="background1" w:themeShade="80"/>
                <w:sz w:val="20"/>
                <w:u w:val="single"/>
              </w:rPr>
            </w:pPr>
          </w:p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u w:val="single"/>
                <w:vertAlign w:val="superscript"/>
              </w:rPr>
            </w:pPr>
            <w:proofErr w:type="spellStart"/>
            <w:r w:rsidRPr="00ED2411">
              <w:rPr>
                <w:rFonts w:ascii="Times New Roman" w:hAnsi="Times New Roman" w:cs="Times New Roman"/>
                <w:sz w:val="20"/>
                <w:u w:val="single"/>
              </w:rPr>
              <w:t>Laboratory</w:t>
            </w:r>
            <w:proofErr w:type="spellEnd"/>
            <w:r w:rsidRPr="00ED2411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proofErr w:type="spellStart"/>
            <w:r w:rsidRPr="00ED2411">
              <w:rPr>
                <w:rFonts w:ascii="Times New Roman" w:hAnsi="Times New Roman" w:cs="Times New Roman"/>
                <w:sz w:val="20"/>
                <w:u w:val="single"/>
              </w:rPr>
              <w:t>values</w:t>
            </w:r>
            <w:r>
              <w:rPr>
                <w:rFonts w:ascii="Times New Roman" w:hAnsi="Times New Roman" w:cs="Times New Roman"/>
                <w:sz w:val="20"/>
                <w:u w:val="single"/>
                <w:vertAlign w:val="superscript"/>
              </w:rPr>
              <w:t>d</w:t>
            </w:r>
            <w:proofErr w:type="spellEnd"/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</w:p>
        </w:tc>
      </w:tr>
      <w:tr w:rsidR="000B272F" w:rsidRPr="00C367AB" w:rsidTr="0002191F">
        <w:trPr>
          <w:trHeight w:val="65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>Haemoglobin</w:t>
            </w:r>
            <w:proofErr w:type="spellEnd"/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g/dl - mean (SD)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9.1 (0.9)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9.2 (0.9)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0.29</w:t>
            </w:r>
          </w:p>
        </w:tc>
      </w:tr>
      <w:tr w:rsidR="000B272F" w:rsidRPr="00C367AB" w:rsidTr="0002191F">
        <w:trPr>
          <w:trHeight w:val="65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Leucocyte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count x10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/L</w:t>
            </w: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- mean (SD)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6.8 (2.1)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6.7 (2.2)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0B272F" w:rsidRPr="00C367AB" w:rsidTr="0002191F">
        <w:trPr>
          <w:trHeight w:val="65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Neutrophil count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/L</w:t>
            </w: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- mean (SD)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3.5 (1.6)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3.4 (1.5)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0.66</w:t>
            </w:r>
          </w:p>
        </w:tc>
      </w:tr>
      <w:tr w:rsidR="000B272F" w:rsidRPr="00C367AB" w:rsidTr="0002191F">
        <w:trPr>
          <w:trHeight w:val="65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ED2411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Platelet count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/L</w:t>
            </w: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 xml:space="preserve"> – mean </w:t>
            </w:r>
            <w:r w:rsidRPr="00ED2411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 xml:space="preserve"> </w:t>
            </w:r>
            <w:r w:rsidRPr="00ED2411">
              <w:rPr>
                <w:rFonts w:ascii="Times New Roman" w:hAnsi="Times New Roman" w:cs="Times New Roman"/>
                <w:sz w:val="20"/>
                <w:lang w:val="en-US"/>
              </w:rPr>
              <w:t>(range)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195 (51 – 764)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188 (24-387)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0.31</w:t>
            </w:r>
          </w:p>
        </w:tc>
      </w:tr>
      <w:tr w:rsidR="000B272F" w:rsidRPr="00C367AB" w:rsidTr="0002191F">
        <w:trPr>
          <w:trHeight w:val="259"/>
        </w:trPr>
        <w:tc>
          <w:tcPr>
            <w:tcW w:w="3516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 xml:space="preserve">Albumin g/l – mean (range) 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41.8 (24-51)</w:t>
            </w:r>
          </w:p>
        </w:tc>
        <w:tc>
          <w:tcPr>
            <w:tcW w:w="204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0" w:name="_GoBack"/>
            <w:bookmarkEnd w:id="0"/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40.9 (24-49)</w:t>
            </w:r>
          </w:p>
        </w:tc>
        <w:tc>
          <w:tcPr>
            <w:tcW w:w="1292" w:type="dxa"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</w:tr>
      <w:tr w:rsidR="000B272F" w:rsidRPr="00C367AB" w:rsidTr="0002191F">
        <w:trPr>
          <w:trHeight w:val="259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Total bilirubin g/dl – median (IQR)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10 (7-14)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9.9 (7-14)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0B272F" w:rsidRPr="00C367AB" w:rsidRDefault="000B272F" w:rsidP="0002191F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C367AB">
              <w:rPr>
                <w:rFonts w:ascii="Times New Roman" w:hAnsi="Times New Roman" w:cs="Times New Roman"/>
                <w:sz w:val="20"/>
                <w:lang w:val="en-US"/>
              </w:rPr>
              <w:t>0.8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</w:tbl>
    <w:p w:rsidR="000B272F" w:rsidRDefault="000B272F" w:rsidP="000B272F">
      <w:pPr>
        <w:pStyle w:val="Geenafstand"/>
        <w:rPr>
          <w:lang w:val="en-US"/>
        </w:rPr>
      </w:pPr>
      <w:r w:rsidRPr="003B1E3A">
        <w:rPr>
          <w:rFonts w:ascii="Times New Roman" w:hAnsi="Times New Roman" w:cs="Times New Roman"/>
          <w:sz w:val="18"/>
          <w:vertAlign w:val="superscript"/>
          <w:lang w:val="en-US"/>
        </w:rPr>
        <w:t xml:space="preserve">a </w:t>
      </w:r>
      <w:r w:rsidRPr="003B1E3A">
        <w:rPr>
          <w:rFonts w:ascii="Times New Roman" w:hAnsi="Times New Roman" w:cs="Times New Roman"/>
          <w:sz w:val="18"/>
          <w:lang w:val="en-US"/>
        </w:rPr>
        <w:t>Race: available in 360 patients</w:t>
      </w:r>
      <w:r>
        <w:rPr>
          <w:rFonts w:ascii="Times New Roman" w:hAnsi="Times New Roman" w:cs="Times New Roman"/>
          <w:sz w:val="18"/>
          <w:lang w:val="en-US"/>
        </w:rPr>
        <w:t>;</w:t>
      </w:r>
      <w:r w:rsidRPr="003B1E3A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vertAlign w:val="superscript"/>
          <w:lang w:val="en-US"/>
        </w:rPr>
        <w:t xml:space="preserve">b </w:t>
      </w:r>
      <w:r w:rsidRPr="00C367AB">
        <w:rPr>
          <w:rFonts w:ascii="Times New Roman" w:hAnsi="Times New Roman" w:cs="Times New Roman"/>
          <w:sz w:val="18"/>
          <w:lang w:val="en-US"/>
        </w:rPr>
        <w:t>Previous response: available in 454 patients</w:t>
      </w:r>
      <w:r w:rsidRPr="00C367AB">
        <w:rPr>
          <w:rFonts w:ascii="Times New Roman" w:hAnsi="Times New Roman" w:cs="Times New Roman"/>
          <w:color w:val="808080" w:themeColor="background1" w:themeShade="80"/>
          <w:sz w:val="18"/>
          <w:lang w:val="en-US"/>
        </w:rPr>
        <w:t xml:space="preserve"> </w:t>
      </w:r>
      <w:r w:rsidRPr="00C367AB">
        <w:rPr>
          <w:rFonts w:ascii="Times New Roman" w:hAnsi="Times New Roman" w:cs="Times New Roman"/>
          <w:sz w:val="18"/>
          <w:lang w:val="en-US"/>
        </w:rPr>
        <w:t>(257 TPR, 197 BOC)</w:t>
      </w:r>
      <w:r>
        <w:rPr>
          <w:rFonts w:ascii="Times New Roman" w:hAnsi="Times New Roman" w:cs="Times New Roman"/>
          <w:sz w:val="1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vertAlign w:val="superscript"/>
          <w:lang w:val="en-US"/>
        </w:rPr>
        <w:t>c</w:t>
      </w:r>
      <w:r w:rsidRPr="00C367AB">
        <w:rPr>
          <w:rFonts w:ascii="Times New Roman" w:hAnsi="Times New Roman" w:cs="Times New Roman"/>
          <w:sz w:val="18"/>
          <w:lang w:val="en-US"/>
        </w:rPr>
        <w:t>Metavir</w:t>
      </w:r>
      <w:proofErr w:type="spellEnd"/>
      <w:r w:rsidRPr="00C367AB">
        <w:rPr>
          <w:rFonts w:ascii="Times New Roman" w:hAnsi="Times New Roman" w:cs="Times New Roman"/>
          <w:sz w:val="18"/>
          <w:lang w:val="en-US"/>
        </w:rPr>
        <w:t xml:space="preserve"> score: available in 308 patients (184 TPR, 124 BOC)</w:t>
      </w:r>
      <w:r>
        <w:rPr>
          <w:rFonts w:ascii="Times New Roman" w:hAnsi="Times New Roman" w:cs="Times New Roman"/>
          <w:sz w:val="1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vertAlign w:val="superscript"/>
          <w:lang w:val="en-US"/>
        </w:rPr>
        <w:t>d</w:t>
      </w:r>
      <w:r w:rsidRPr="00C367AB">
        <w:rPr>
          <w:rFonts w:ascii="Times New Roman" w:hAnsi="Times New Roman" w:cs="Times New Roman"/>
          <w:sz w:val="18"/>
          <w:lang w:val="en-US"/>
        </w:rPr>
        <w:t>Lab</w:t>
      </w:r>
      <w:proofErr w:type="spellEnd"/>
      <w:r w:rsidRPr="00C367AB">
        <w:rPr>
          <w:rFonts w:ascii="Times New Roman" w:hAnsi="Times New Roman" w:cs="Times New Roman"/>
          <w:sz w:val="18"/>
          <w:lang w:val="en-US"/>
        </w:rPr>
        <w:t xml:space="preserve"> values &gt;10% missings in: neutrophil count, albumin</w:t>
      </w:r>
      <w:r>
        <w:rPr>
          <w:rFonts w:ascii="Times New Roman" w:hAnsi="Times New Roman" w:cs="Times New Roman"/>
          <w:sz w:val="18"/>
          <w:lang w:val="en-US"/>
        </w:rPr>
        <w:t xml:space="preserve">; </w:t>
      </w:r>
    </w:p>
    <w:p w:rsidR="00E62B80" w:rsidRPr="000B272F" w:rsidRDefault="000B272F" w:rsidP="000B272F">
      <w:pPr>
        <w:spacing w:after="200" w:line="276" w:lineRule="auto"/>
        <w:rPr>
          <w:b/>
          <w:lang w:val="en-US"/>
        </w:rPr>
      </w:pPr>
    </w:p>
    <w:sectPr w:rsidR="00E62B80" w:rsidRPr="000B272F" w:rsidSect="0092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B272F"/>
    <w:rsid w:val="00046C11"/>
    <w:rsid w:val="000510F7"/>
    <w:rsid w:val="000B272F"/>
    <w:rsid w:val="00431DBD"/>
    <w:rsid w:val="008010B5"/>
    <w:rsid w:val="00922BD4"/>
    <w:rsid w:val="00956C47"/>
    <w:rsid w:val="00C2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272F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27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Company>UMC St Radboud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Z050161</dc:creator>
  <cp:lastModifiedBy>Z050161</cp:lastModifiedBy>
  <cp:revision>1</cp:revision>
  <dcterms:created xsi:type="dcterms:W3CDTF">2016-08-17T08:35:00Z</dcterms:created>
  <dcterms:modified xsi:type="dcterms:W3CDTF">2016-08-17T08:36:00Z</dcterms:modified>
</cp:coreProperties>
</file>