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F7" w:rsidRPr="00011572" w:rsidRDefault="00C11CF7" w:rsidP="00011572">
      <w:pPr>
        <w:widowControl/>
        <w:wordWrap/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11572">
        <w:rPr>
          <w:rFonts w:ascii="Arial" w:hAnsi="Arial" w:cs="Arial"/>
          <w:b/>
          <w:sz w:val="24"/>
          <w:szCs w:val="24"/>
        </w:rPr>
        <w:t>S</w:t>
      </w:r>
      <w:r w:rsidR="001E02B8" w:rsidRPr="00011572">
        <w:rPr>
          <w:rFonts w:ascii="Arial" w:hAnsi="Arial" w:cs="Arial"/>
          <w:b/>
          <w:sz w:val="24"/>
          <w:szCs w:val="24"/>
        </w:rPr>
        <w:t>1 Fig</w:t>
      </w:r>
      <w:r w:rsidRPr="00011572">
        <w:rPr>
          <w:rFonts w:ascii="Arial" w:hAnsi="Arial" w:cs="Arial"/>
          <w:b/>
          <w:sz w:val="24"/>
          <w:szCs w:val="24"/>
        </w:rPr>
        <w:t>.</w:t>
      </w:r>
      <w:proofErr w:type="gramEnd"/>
      <w:r w:rsidRPr="000115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1572">
        <w:rPr>
          <w:rFonts w:ascii="Arial" w:hAnsi="Arial" w:cs="Arial"/>
          <w:b/>
          <w:sz w:val="24"/>
          <w:szCs w:val="24"/>
        </w:rPr>
        <w:t>Effects of miR-6734 on cell migration and invasion in HCT-116 cells.</w:t>
      </w:r>
      <w:proofErr w:type="gramEnd"/>
      <w:r w:rsidRPr="00011572">
        <w:rPr>
          <w:rFonts w:ascii="Arial" w:hAnsi="Arial" w:cs="Arial"/>
          <w:sz w:val="24"/>
          <w:szCs w:val="24"/>
        </w:rPr>
        <w:t xml:space="preserve"> </w:t>
      </w:r>
      <w:r w:rsidR="00234192" w:rsidRPr="00011572">
        <w:rPr>
          <w:rFonts w:ascii="Arial" w:hAnsi="Arial" w:cs="Arial"/>
          <w:sz w:val="24"/>
          <w:szCs w:val="24"/>
        </w:rPr>
        <w:t xml:space="preserve">(A) </w:t>
      </w:r>
      <w:r w:rsidRPr="00011572">
        <w:rPr>
          <w:rFonts w:ascii="Arial" w:hAnsi="Arial" w:cs="Arial"/>
          <w:sz w:val="24"/>
          <w:szCs w:val="24"/>
        </w:rPr>
        <w:t xml:space="preserve">HCT-116 cells were </w:t>
      </w:r>
      <w:proofErr w:type="spellStart"/>
      <w:r w:rsidRPr="00011572">
        <w:rPr>
          <w:rFonts w:ascii="Arial" w:hAnsi="Arial" w:cs="Arial"/>
          <w:sz w:val="24"/>
          <w:szCs w:val="24"/>
        </w:rPr>
        <w:t>transfected</w:t>
      </w:r>
      <w:proofErr w:type="spellEnd"/>
      <w:r w:rsidRPr="00011572">
        <w:rPr>
          <w:rFonts w:ascii="Arial" w:hAnsi="Arial" w:cs="Arial"/>
          <w:sz w:val="24"/>
          <w:szCs w:val="24"/>
        </w:rPr>
        <w:t xml:space="preserve"> with </w:t>
      </w:r>
      <w:proofErr w:type="gramStart"/>
      <w:r w:rsidRPr="00011572">
        <w:rPr>
          <w:rFonts w:ascii="Arial" w:hAnsi="Arial" w:cs="Arial"/>
          <w:sz w:val="24"/>
          <w:szCs w:val="24"/>
        </w:rPr>
        <w:t>Mock</w:t>
      </w:r>
      <w:proofErr w:type="gramEnd"/>
      <w:r w:rsidRPr="00011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1572">
        <w:rPr>
          <w:rFonts w:ascii="Arial" w:hAnsi="Arial" w:cs="Arial"/>
          <w:sz w:val="24"/>
          <w:szCs w:val="24"/>
        </w:rPr>
        <w:t>dsCon</w:t>
      </w:r>
      <w:proofErr w:type="spellEnd"/>
      <w:r w:rsidRPr="00011572">
        <w:rPr>
          <w:rFonts w:ascii="Arial" w:hAnsi="Arial" w:cs="Arial"/>
          <w:sz w:val="24"/>
          <w:szCs w:val="24"/>
        </w:rPr>
        <w:t xml:space="preserve"> or the indicated concentrations of miR-6734</w:t>
      </w:r>
      <w:r w:rsidR="00234192" w:rsidRPr="00011572">
        <w:rPr>
          <w:rFonts w:ascii="Arial" w:hAnsi="Arial" w:cs="Arial"/>
          <w:sz w:val="24"/>
          <w:szCs w:val="24"/>
        </w:rPr>
        <w:t xml:space="preserve"> and were seeded in the migration dish inserts (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Ibidi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Martinsried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, Germany). </w:t>
      </w:r>
      <w:r w:rsidR="00513A3F">
        <w:rPr>
          <w:rFonts w:ascii="Arial" w:hAnsi="Arial" w:cs="Arial" w:hint="eastAsia"/>
          <w:sz w:val="24"/>
          <w:szCs w:val="24"/>
        </w:rPr>
        <w:t xml:space="preserve">After cells </w:t>
      </w:r>
      <w:r w:rsidR="00DE4E14">
        <w:rPr>
          <w:rFonts w:ascii="Arial" w:hAnsi="Arial" w:cs="Arial" w:hint="eastAsia"/>
          <w:sz w:val="24"/>
          <w:szCs w:val="24"/>
        </w:rPr>
        <w:t xml:space="preserve">reached to </w:t>
      </w:r>
      <w:proofErr w:type="spellStart"/>
      <w:r w:rsidR="00DE4E14">
        <w:rPr>
          <w:rFonts w:ascii="Arial" w:hAnsi="Arial" w:cs="Arial" w:hint="eastAsia"/>
          <w:sz w:val="24"/>
          <w:szCs w:val="24"/>
        </w:rPr>
        <w:t>confluency</w:t>
      </w:r>
      <w:proofErr w:type="spellEnd"/>
      <w:r w:rsidR="00513A3F">
        <w:rPr>
          <w:rFonts w:ascii="Arial" w:hAnsi="Arial" w:cs="Arial" w:hint="eastAsia"/>
          <w:sz w:val="24"/>
          <w:szCs w:val="24"/>
        </w:rPr>
        <w:t>,</w:t>
      </w:r>
      <w:r w:rsidR="00DE4E14">
        <w:rPr>
          <w:rFonts w:ascii="Arial" w:hAnsi="Arial" w:cs="Arial" w:hint="eastAsia"/>
          <w:sz w:val="24"/>
          <w:szCs w:val="24"/>
        </w:rPr>
        <w:t xml:space="preserve"> t</w:t>
      </w:r>
      <w:r w:rsidR="00234192" w:rsidRPr="00011572">
        <w:rPr>
          <w:rFonts w:ascii="Arial" w:hAnsi="Arial" w:cs="Arial"/>
          <w:sz w:val="24"/>
          <w:szCs w:val="24"/>
        </w:rPr>
        <w:t>he insert</w:t>
      </w:r>
      <w:r w:rsidR="00DE4E14">
        <w:rPr>
          <w:rFonts w:ascii="Arial" w:hAnsi="Arial" w:cs="Arial" w:hint="eastAsia"/>
          <w:sz w:val="24"/>
          <w:szCs w:val="24"/>
        </w:rPr>
        <w:t>s</w:t>
      </w:r>
      <w:r w:rsidR="00234192" w:rsidRPr="00011572">
        <w:rPr>
          <w:rFonts w:ascii="Arial" w:hAnsi="Arial" w:cs="Arial"/>
          <w:sz w:val="24"/>
          <w:szCs w:val="24"/>
        </w:rPr>
        <w:t xml:space="preserve"> w</w:t>
      </w:r>
      <w:r w:rsidR="00DE4E14">
        <w:rPr>
          <w:rFonts w:ascii="Arial" w:hAnsi="Arial" w:cs="Arial" w:hint="eastAsia"/>
          <w:sz w:val="24"/>
          <w:szCs w:val="24"/>
        </w:rPr>
        <w:t>ere</w:t>
      </w:r>
      <w:r w:rsidR="00234192" w:rsidRPr="00011572">
        <w:rPr>
          <w:rFonts w:ascii="Arial" w:hAnsi="Arial" w:cs="Arial"/>
          <w:sz w:val="24"/>
          <w:szCs w:val="24"/>
        </w:rPr>
        <w:t xml:space="preserve"> removed and fresh medium was added to start migration. After 24 h, pictures were acquired and image analysis was performed using Image J (NIH image, </w:t>
      </w:r>
      <w:hyperlink r:id="rId6" w:history="1">
        <w:r w:rsidR="00234192" w:rsidRPr="00011572">
          <w:rPr>
            <w:rStyle w:val="a7"/>
            <w:rFonts w:ascii="Arial" w:hAnsi="Arial" w:cs="Arial"/>
            <w:sz w:val="24"/>
            <w:szCs w:val="24"/>
          </w:rPr>
          <w:t>http://imagej.net/ImageJ</w:t>
        </w:r>
      </w:hyperlink>
      <w:r w:rsidR="00234192" w:rsidRPr="00011572">
        <w:rPr>
          <w:rFonts w:ascii="Arial" w:hAnsi="Arial" w:cs="Arial"/>
          <w:sz w:val="24"/>
          <w:szCs w:val="24"/>
        </w:rPr>
        <w:t xml:space="preserve">). </w:t>
      </w:r>
      <w:r w:rsidRPr="00011572">
        <w:rPr>
          <w:rFonts w:ascii="Arial" w:hAnsi="Arial" w:cs="Arial"/>
          <w:sz w:val="24"/>
          <w:szCs w:val="24"/>
        </w:rPr>
        <w:t>(B)</w:t>
      </w:r>
      <w:r w:rsidR="00234192" w:rsidRPr="00011572">
        <w:rPr>
          <w:rFonts w:ascii="Arial" w:hAnsi="Arial" w:cs="Arial"/>
          <w:sz w:val="24"/>
          <w:szCs w:val="24"/>
        </w:rPr>
        <w:t xml:space="preserve"> HCT-116 cells were 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transfected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 with </w:t>
      </w:r>
      <w:proofErr w:type="gramStart"/>
      <w:r w:rsidR="00234192" w:rsidRPr="00011572">
        <w:rPr>
          <w:rFonts w:ascii="Arial" w:hAnsi="Arial" w:cs="Arial"/>
          <w:sz w:val="24"/>
          <w:szCs w:val="24"/>
        </w:rPr>
        <w:t>Mock</w:t>
      </w:r>
      <w:proofErr w:type="gramEnd"/>
      <w:r w:rsidR="00234192" w:rsidRPr="00011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dsCon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 or the indicated concentrations of miR-6734 and seeded in the upper insert of a 24-well chamber in 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BioCoat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Matrigel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 invasion plates (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Beckton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 Dickinson Bioscience, 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Franlin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 Lakes, NJ, USA). After 24 h, cells on the upper side of the filters were mechanically removed by scrubbing with a cotton swab and the amount of invaded cells w</w:t>
      </w:r>
      <w:r w:rsidR="00011572" w:rsidRPr="00011572">
        <w:rPr>
          <w:rFonts w:ascii="Arial" w:hAnsi="Arial" w:cs="Arial"/>
          <w:sz w:val="24"/>
          <w:szCs w:val="24"/>
        </w:rPr>
        <w:t>as</w:t>
      </w:r>
      <w:r w:rsidR="00234192" w:rsidRPr="00011572">
        <w:rPr>
          <w:rFonts w:ascii="Arial" w:hAnsi="Arial" w:cs="Arial"/>
          <w:sz w:val="24"/>
          <w:szCs w:val="24"/>
        </w:rPr>
        <w:t xml:space="preserve"> determined by 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CellTiter-Glo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 Luminescent Cell Viability Assay Kit (</w:t>
      </w:r>
      <w:proofErr w:type="spellStart"/>
      <w:r w:rsidR="00234192" w:rsidRPr="00011572">
        <w:rPr>
          <w:rFonts w:ascii="Arial" w:hAnsi="Arial" w:cs="Arial"/>
          <w:sz w:val="24"/>
          <w:szCs w:val="24"/>
        </w:rPr>
        <w:t>Promega</w:t>
      </w:r>
      <w:proofErr w:type="spellEnd"/>
      <w:r w:rsidR="00234192" w:rsidRPr="00011572">
        <w:rPr>
          <w:rFonts w:ascii="Arial" w:hAnsi="Arial" w:cs="Arial"/>
          <w:sz w:val="24"/>
          <w:szCs w:val="24"/>
        </w:rPr>
        <w:t xml:space="preserve">, Madison, WI, USA). </w:t>
      </w:r>
      <w:r w:rsidR="00011572" w:rsidRPr="00EB190B">
        <w:rPr>
          <w:rFonts w:ascii="Arial" w:hAnsi="Arial" w:cs="Arial"/>
          <w:bCs/>
          <w:sz w:val="24"/>
        </w:rPr>
        <w:t>Data are presented as mea</w:t>
      </w:r>
      <w:r w:rsidR="00011572" w:rsidRPr="00E347EE">
        <w:rPr>
          <w:rFonts w:ascii="Arial" w:hAnsi="Arial" w:cs="Arial"/>
          <w:bCs/>
          <w:sz w:val="24"/>
        </w:rPr>
        <w:t xml:space="preserve">n ± </w:t>
      </w:r>
      <w:r w:rsidR="00011572" w:rsidRPr="00EB190B">
        <w:rPr>
          <w:rFonts w:ascii="Arial" w:hAnsi="Arial" w:cs="Arial" w:hint="eastAsia"/>
          <w:bCs/>
          <w:sz w:val="24"/>
        </w:rPr>
        <w:t>S</w:t>
      </w:r>
      <w:r w:rsidR="00011572">
        <w:rPr>
          <w:rFonts w:ascii="Arial" w:hAnsi="Arial" w:cs="Arial" w:hint="eastAsia"/>
          <w:bCs/>
          <w:sz w:val="24"/>
        </w:rPr>
        <w:t>.</w:t>
      </w:r>
      <w:r w:rsidR="00011572" w:rsidRPr="00EB190B">
        <w:rPr>
          <w:rFonts w:ascii="Arial" w:hAnsi="Arial" w:cs="Arial" w:hint="eastAsia"/>
          <w:bCs/>
          <w:sz w:val="24"/>
        </w:rPr>
        <w:t>D</w:t>
      </w:r>
      <w:r w:rsidR="00011572">
        <w:rPr>
          <w:rFonts w:ascii="Arial" w:hAnsi="Arial" w:cs="Arial" w:hint="eastAsia"/>
          <w:bCs/>
          <w:sz w:val="24"/>
        </w:rPr>
        <w:t>.</w:t>
      </w:r>
      <w:r w:rsidR="00011572" w:rsidRPr="00EB190B">
        <w:rPr>
          <w:rFonts w:ascii="Arial" w:hAnsi="Arial" w:cs="Arial" w:hint="eastAsia"/>
          <w:bCs/>
          <w:sz w:val="24"/>
        </w:rPr>
        <w:t xml:space="preserve"> of </w:t>
      </w:r>
      <w:r w:rsidR="00011572">
        <w:rPr>
          <w:rFonts w:ascii="Arial" w:hAnsi="Arial" w:cs="Arial" w:hint="eastAsia"/>
          <w:bCs/>
          <w:sz w:val="24"/>
        </w:rPr>
        <w:t>tri</w:t>
      </w:r>
      <w:r w:rsidR="00011572" w:rsidRPr="00EB190B">
        <w:rPr>
          <w:rFonts w:ascii="Arial" w:hAnsi="Arial" w:cs="Arial"/>
          <w:bCs/>
          <w:sz w:val="24"/>
        </w:rPr>
        <w:t xml:space="preserve">plicate experiments. </w:t>
      </w:r>
      <w:r w:rsidR="00011572" w:rsidRPr="00075CD7">
        <w:rPr>
          <w:rFonts w:ascii="Arial" w:hAnsi="Arial" w:cs="Arial"/>
          <w:sz w:val="24"/>
        </w:rPr>
        <w:t xml:space="preserve">Statistical significance was analyzed by one-way ANOVA and </w:t>
      </w:r>
      <w:proofErr w:type="spellStart"/>
      <w:r w:rsidR="00011572" w:rsidRPr="00075CD7">
        <w:rPr>
          <w:rFonts w:ascii="Arial" w:hAnsi="Arial" w:cs="Arial"/>
          <w:sz w:val="24"/>
        </w:rPr>
        <w:t>Dunnett’s</w:t>
      </w:r>
      <w:proofErr w:type="spellEnd"/>
      <w:r w:rsidR="00011572" w:rsidRPr="00075CD7">
        <w:rPr>
          <w:rFonts w:ascii="Arial" w:hAnsi="Arial" w:cs="Arial"/>
          <w:sz w:val="24"/>
        </w:rPr>
        <w:t xml:space="preserve"> t-test</w:t>
      </w:r>
      <w:r w:rsidR="00011572" w:rsidRPr="00EB190B">
        <w:rPr>
          <w:rFonts w:ascii="Arial" w:hAnsi="Arial" w:cs="Arial"/>
          <w:bCs/>
          <w:sz w:val="24"/>
        </w:rPr>
        <w:t xml:space="preserve"> </w:t>
      </w:r>
      <w:r w:rsidR="00011572">
        <w:rPr>
          <w:rFonts w:ascii="Arial" w:hAnsi="Arial" w:cs="Arial" w:hint="eastAsia"/>
          <w:bCs/>
          <w:sz w:val="24"/>
        </w:rPr>
        <w:t>(</w:t>
      </w:r>
      <w:r w:rsidR="00011572" w:rsidRPr="00EB190B">
        <w:rPr>
          <w:rFonts w:ascii="Arial" w:hAnsi="Arial" w:cs="Arial"/>
          <w:bCs/>
          <w:sz w:val="24"/>
        </w:rPr>
        <w:t>*</w:t>
      </w:r>
      <w:r w:rsidR="00011572">
        <w:rPr>
          <w:rFonts w:ascii="Arial" w:hAnsi="Arial" w:cs="Arial" w:hint="eastAsia"/>
          <w:bCs/>
          <w:sz w:val="24"/>
        </w:rPr>
        <w:t>*</w:t>
      </w:r>
      <w:r w:rsidR="00011572" w:rsidRPr="00EB190B">
        <w:rPr>
          <w:rFonts w:ascii="Arial" w:hAnsi="Arial" w:cs="Arial"/>
          <w:bCs/>
          <w:sz w:val="24"/>
        </w:rPr>
        <w:t xml:space="preserve"> </w:t>
      </w:r>
      <w:r w:rsidR="00011572">
        <w:rPr>
          <w:rFonts w:ascii="Arial" w:hAnsi="Arial" w:cs="Arial" w:hint="eastAsia"/>
          <w:bCs/>
          <w:sz w:val="24"/>
        </w:rPr>
        <w:t xml:space="preserve">p </w:t>
      </w:r>
      <w:r w:rsidR="00011572" w:rsidRPr="00EB190B">
        <w:rPr>
          <w:rFonts w:ascii="Arial" w:hAnsi="Arial" w:cs="Arial"/>
          <w:bCs/>
          <w:sz w:val="24"/>
        </w:rPr>
        <w:t>&lt;</w:t>
      </w:r>
      <w:r w:rsidR="00011572">
        <w:rPr>
          <w:rFonts w:ascii="Arial" w:hAnsi="Arial" w:cs="Arial" w:hint="eastAsia"/>
          <w:bCs/>
          <w:sz w:val="24"/>
        </w:rPr>
        <w:t xml:space="preserve"> </w:t>
      </w:r>
      <w:r w:rsidR="00011572" w:rsidRPr="00EB190B">
        <w:rPr>
          <w:rFonts w:ascii="Arial" w:hAnsi="Arial" w:cs="Arial"/>
          <w:bCs/>
          <w:sz w:val="24"/>
        </w:rPr>
        <w:t>0.0</w:t>
      </w:r>
      <w:r w:rsidR="00011572">
        <w:rPr>
          <w:rFonts w:ascii="Arial" w:hAnsi="Arial" w:cs="Arial" w:hint="eastAsia"/>
          <w:bCs/>
          <w:sz w:val="24"/>
        </w:rPr>
        <w:t>1</w:t>
      </w:r>
      <w:r w:rsidR="00011572" w:rsidRPr="00EB190B">
        <w:rPr>
          <w:rFonts w:ascii="Arial" w:hAnsi="Arial" w:cs="Arial"/>
          <w:bCs/>
          <w:sz w:val="24"/>
        </w:rPr>
        <w:t>; *</w:t>
      </w:r>
      <w:r w:rsidR="00011572">
        <w:rPr>
          <w:rFonts w:ascii="Arial" w:hAnsi="Arial" w:cs="Arial" w:hint="eastAsia"/>
          <w:bCs/>
          <w:sz w:val="24"/>
        </w:rPr>
        <w:t>*</w:t>
      </w:r>
      <w:r w:rsidR="00011572" w:rsidRPr="00EB190B">
        <w:rPr>
          <w:rFonts w:ascii="Arial" w:hAnsi="Arial" w:cs="Arial"/>
          <w:bCs/>
          <w:sz w:val="24"/>
        </w:rPr>
        <w:t xml:space="preserve">* </w:t>
      </w:r>
      <w:r w:rsidR="00011572">
        <w:rPr>
          <w:rFonts w:ascii="Arial" w:hAnsi="Arial" w:cs="Arial" w:hint="eastAsia"/>
          <w:bCs/>
          <w:sz w:val="24"/>
        </w:rPr>
        <w:t>p</w:t>
      </w:r>
      <w:r w:rsidR="00011572" w:rsidRPr="00EB190B">
        <w:rPr>
          <w:rFonts w:ascii="Arial" w:hAnsi="Arial" w:cs="Arial"/>
          <w:bCs/>
          <w:sz w:val="24"/>
        </w:rPr>
        <w:t xml:space="preserve"> &lt; 0.</w:t>
      </w:r>
      <w:r w:rsidR="00011572">
        <w:rPr>
          <w:rFonts w:ascii="Arial" w:hAnsi="Arial" w:cs="Arial" w:hint="eastAsia"/>
          <w:bCs/>
          <w:sz w:val="24"/>
        </w:rPr>
        <w:t>0</w:t>
      </w:r>
      <w:r w:rsidR="00011572" w:rsidRPr="00EB190B">
        <w:rPr>
          <w:rFonts w:ascii="Arial" w:hAnsi="Arial" w:cs="Arial"/>
          <w:bCs/>
          <w:sz w:val="24"/>
        </w:rPr>
        <w:t>01 versus mock</w:t>
      </w:r>
      <w:r w:rsidR="00011572">
        <w:rPr>
          <w:rFonts w:ascii="Arial" w:hAnsi="Arial" w:cs="Arial" w:hint="eastAsia"/>
          <w:bCs/>
          <w:sz w:val="24"/>
        </w:rPr>
        <w:t>)</w:t>
      </w:r>
      <w:r w:rsidR="00011572" w:rsidRPr="00EB190B">
        <w:rPr>
          <w:rFonts w:ascii="Arial" w:hAnsi="Arial" w:cs="Arial"/>
          <w:bCs/>
          <w:sz w:val="24"/>
        </w:rPr>
        <w:t>.</w:t>
      </w:r>
    </w:p>
    <w:p w:rsidR="00C11CF7" w:rsidRDefault="00C11CF7" w:rsidP="00C11CF7">
      <w:pPr>
        <w:widowControl/>
        <w:wordWrap/>
        <w:autoSpaceDE/>
        <w:autoSpaceDN/>
        <w:rPr>
          <w:sz w:val="22"/>
        </w:rPr>
      </w:pPr>
    </w:p>
    <w:p w:rsidR="00C11CF7" w:rsidRDefault="00C11CF7" w:rsidP="008067D6">
      <w:pPr>
        <w:widowControl/>
        <w:wordWrap/>
        <w:autoSpaceDE/>
        <w:autoSpaceDN/>
        <w:jc w:val="center"/>
      </w:pPr>
      <w:r>
        <w:rPr>
          <w:noProof/>
        </w:rPr>
        <w:drawing>
          <wp:inline distT="0" distB="0" distL="0" distR="0">
            <wp:extent cx="5419725" cy="3105150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CF7" w:rsidSect="006511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56" w:rsidRDefault="007B2B56" w:rsidP="003E7A74">
      <w:r>
        <w:separator/>
      </w:r>
    </w:p>
  </w:endnote>
  <w:endnote w:type="continuationSeparator" w:id="0">
    <w:p w:rsidR="007B2B56" w:rsidRDefault="007B2B56" w:rsidP="003E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56" w:rsidRDefault="007B2B56" w:rsidP="003E7A74">
      <w:r>
        <w:separator/>
      </w:r>
    </w:p>
  </w:footnote>
  <w:footnote w:type="continuationSeparator" w:id="0">
    <w:p w:rsidR="007B2B56" w:rsidRDefault="007B2B56" w:rsidP="003E7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BB4"/>
    <w:rsid w:val="00001D18"/>
    <w:rsid w:val="00011572"/>
    <w:rsid w:val="000346E5"/>
    <w:rsid w:val="00056D8F"/>
    <w:rsid w:val="000A2E32"/>
    <w:rsid w:val="000C2CAA"/>
    <w:rsid w:val="00112989"/>
    <w:rsid w:val="0011549F"/>
    <w:rsid w:val="001E02B8"/>
    <w:rsid w:val="00234192"/>
    <w:rsid w:val="002345F4"/>
    <w:rsid w:val="00271D05"/>
    <w:rsid w:val="002778AA"/>
    <w:rsid w:val="0031232C"/>
    <w:rsid w:val="00341180"/>
    <w:rsid w:val="00353167"/>
    <w:rsid w:val="00380127"/>
    <w:rsid w:val="003B0A5E"/>
    <w:rsid w:val="003E7A74"/>
    <w:rsid w:val="004837A6"/>
    <w:rsid w:val="00513A3F"/>
    <w:rsid w:val="005443AE"/>
    <w:rsid w:val="00544D98"/>
    <w:rsid w:val="005759CC"/>
    <w:rsid w:val="005941CD"/>
    <w:rsid w:val="00595145"/>
    <w:rsid w:val="005C5DFE"/>
    <w:rsid w:val="005D5D7E"/>
    <w:rsid w:val="00627A0F"/>
    <w:rsid w:val="00651136"/>
    <w:rsid w:val="0065580E"/>
    <w:rsid w:val="006D5645"/>
    <w:rsid w:val="00712069"/>
    <w:rsid w:val="00724106"/>
    <w:rsid w:val="00754A85"/>
    <w:rsid w:val="00756043"/>
    <w:rsid w:val="00783FD9"/>
    <w:rsid w:val="007B2B56"/>
    <w:rsid w:val="007D2260"/>
    <w:rsid w:val="00801222"/>
    <w:rsid w:val="008067D6"/>
    <w:rsid w:val="008132C8"/>
    <w:rsid w:val="00832756"/>
    <w:rsid w:val="008C0889"/>
    <w:rsid w:val="008D5AF6"/>
    <w:rsid w:val="008E026E"/>
    <w:rsid w:val="008F45EB"/>
    <w:rsid w:val="00973BB4"/>
    <w:rsid w:val="009B525C"/>
    <w:rsid w:val="009B6FB6"/>
    <w:rsid w:val="00A14002"/>
    <w:rsid w:val="00A14FC4"/>
    <w:rsid w:val="00A82A11"/>
    <w:rsid w:val="00A978B0"/>
    <w:rsid w:val="00B56369"/>
    <w:rsid w:val="00B81C33"/>
    <w:rsid w:val="00C0696D"/>
    <w:rsid w:val="00C11CF7"/>
    <w:rsid w:val="00C77BCD"/>
    <w:rsid w:val="00C85C46"/>
    <w:rsid w:val="00D22742"/>
    <w:rsid w:val="00D24129"/>
    <w:rsid w:val="00D3469A"/>
    <w:rsid w:val="00DC1CE5"/>
    <w:rsid w:val="00DE4E14"/>
    <w:rsid w:val="00EB38BF"/>
    <w:rsid w:val="00EE05E6"/>
    <w:rsid w:val="00EE4371"/>
    <w:rsid w:val="00EF447A"/>
    <w:rsid w:val="00F7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A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E7A74"/>
  </w:style>
  <w:style w:type="paragraph" w:styleId="a5">
    <w:name w:val="footer"/>
    <w:basedOn w:val="a"/>
    <w:link w:val="Char0"/>
    <w:uiPriority w:val="99"/>
    <w:unhideWhenUsed/>
    <w:rsid w:val="003E7A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E7A74"/>
  </w:style>
  <w:style w:type="paragraph" w:styleId="a6">
    <w:name w:val="Balloon Text"/>
    <w:basedOn w:val="a"/>
    <w:link w:val="Char1"/>
    <w:uiPriority w:val="99"/>
    <w:semiHidden/>
    <w:unhideWhenUsed/>
    <w:rsid w:val="00C1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1CF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34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j.net/Imag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KRIBB</cp:lastModifiedBy>
  <cp:revision>7</cp:revision>
  <dcterms:created xsi:type="dcterms:W3CDTF">2016-07-06T14:19:00Z</dcterms:created>
  <dcterms:modified xsi:type="dcterms:W3CDTF">2016-07-07T05:48:00Z</dcterms:modified>
</cp:coreProperties>
</file>