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9F" w:rsidRPr="009774BB" w:rsidRDefault="007E689F" w:rsidP="007E689F">
      <w:pPr>
        <w:rPr>
          <w:b/>
          <w:szCs w:val="20"/>
          <w:lang w:val="en-GB"/>
        </w:rPr>
      </w:pPr>
      <w:r w:rsidRPr="009774BB">
        <w:rPr>
          <w:b/>
          <w:szCs w:val="20"/>
          <w:lang w:val="en-GB"/>
        </w:rPr>
        <w:t>S6</w:t>
      </w:r>
      <w:r w:rsidRPr="009774BB">
        <w:rPr>
          <w:rFonts w:cs="Times New Roman"/>
          <w:b/>
          <w:szCs w:val="20"/>
          <w:lang w:val="en-GB"/>
        </w:rPr>
        <w:t xml:space="preserve"> </w:t>
      </w:r>
      <w:r w:rsidRPr="009774BB">
        <w:rPr>
          <w:b/>
          <w:szCs w:val="20"/>
          <w:lang w:val="en-GB"/>
        </w:rPr>
        <w:t xml:space="preserve">Table. CKD vs no-CKD and eGFR &lt;30 vs eGFR </w:t>
      </w:r>
      <w:r w:rsidRPr="009774BB">
        <w:rPr>
          <w:rFonts w:cs="Times New Roman"/>
          <w:b/>
          <w:szCs w:val="20"/>
          <w:lang w:val="en-GB"/>
        </w:rPr>
        <w:t>≥</w:t>
      </w:r>
      <w:r w:rsidRPr="009774BB">
        <w:rPr>
          <w:b/>
          <w:szCs w:val="20"/>
          <w:lang w:val="en-GB"/>
        </w:rPr>
        <w:t xml:space="preserve"> 30 ml/min/1.73m</w:t>
      </w:r>
      <w:r w:rsidRPr="009774BB">
        <w:rPr>
          <w:b/>
          <w:szCs w:val="20"/>
          <w:vertAlign w:val="superscript"/>
          <w:lang w:val="en-GB"/>
        </w:rPr>
        <w:t>2</w:t>
      </w:r>
      <w:r w:rsidRPr="009774BB">
        <w:rPr>
          <w:b/>
          <w:szCs w:val="20"/>
          <w:lang w:val="en-GB"/>
        </w:rPr>
        <w:t xml:space="preserve"> comparison for all-causes and cardiovascular mortality within 180 days follow-up period using propensity-matched subpopulations. </w:t>
      </w:r>
    </w:p>
    <w:tbl>
      <w:tblPr>
        <w:tblW w:w="5000" w:type="pct"/>
        <w:tblLayout w:type="fixed"/>
        <w:tblCellMar>
          <w:left w:w="70" w:type="dxa"/>
          <w:right w:w="70" w:type="dxa"/>
        </w:tblCellMar>
        <w:tblLook w:val="04A0" w:firstRow="1" w:lastRow="0" w:firstColumn="1" w:lastColumn="0" w:noHBand="0" w:noVBand="1"/>
      </w:tblPr>
      <w:tblGrid>
        <w:gridCol w:w="2585"/>
        <w:gridCol w:w="1957"/>
        <w:gridCol w:w="1538"/>
        <w:gridCol w:w="1893"/>
        <w:gridCol w:w="1665"/>
      </w:tblGrid>
      <w:tr w:rsidR="007E689F" w:rsidRPr="009774BB" w:rsidTr="001327AA">
        <w:trPr>
          <w:trHeight w:val="280"/>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 </w:t>
            </w:r>
          </w:p>
        </w:tc>
        <w:tc>
          <w:tcPr>
            <w:tcW w:w="1812" w:type="pct"/>
            <w:gridSpan w:val="2"/>
            <w:tcBorders>
              <w:top w:val="single" w:sz="4" w:space="0" w:color="auto"/>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b/>
                <w:bCs/>
                <w:color w:val="000000"/>
                <w:szCs w:val="20"/>
                <w:lang w:val="en-GB" w:eastAsia="it-IT"/>
              </w:rPr>
            </w:pPr>
            <w:r w:rsidRPr="009774BB">
              <w:rPr>
                <w:rFonts w:eastAsia="Times New Roman Uni" w:cs="Times New Roman"/>
                <w:b/>
                <w:bCs/>
                <w:color w:val="000000"/>
                <w:szCs w:val="20"/>
                <w:lang w:val="en-GB" w:eastAsia="it-IT"/>
              </w:rPr>
              <w:br/>
              <w:t>FIRST SENSITIVITY ANALYSIS</w:t>
            </w:r>
            <w:r w:rsidRPr="009774BB">
              <w:rPr>
                <w:rFonts w:eastAsia="Times New Roman Uni" w:cs="Times New Roman"/>
                <w:b/>
                <w:bCs/>
                <w:color w:val="000000"/>
                <w:szCs w:val="20"/>
                <w:lang w:val="en-GB" w:eastAsia="it-IT"/>
              </w:rPr>
              <w:br/>
              <w:t>Propensity-score based subpopulation</w:t>
            </w:r>
            <w:r w:rsidRPr="009774BB">
              <w:rPr>
                <w:rFonts w:eastAsia="Times New Roman Uni" w:cs="Times New Roman"/>
                <w:b/>
                <w:bCs/>
                <w:color w:val="000000"/>
                <w:szCs w:val="20"/>
                <w:lang w:val="en-GB" w:eastAsia="it-IT"/>
              </w:rPr>
              <w:br/>
              <w:t>CKD</w:t>
            </w:r>
            <w:r w:rsidRPr="009774BB">
              <w:rPr>
                <w:rFonts w:eastAsia="Times New Roman Uni" w:cs="Times New Roman"/>
                <w:color w:val="000000"/>
                <w:szCs w:val="20"/>
                <w:vertAlign w:val="superscript"/>
                <w:lang w:val="en-GB" w:eastAsia="it-IT"/>
              </w:rPr>
              <w:t>a</w:t>
            </w:r>
            <w:r>
              <w:rPr>
                <w:rFonts w:eastAsia="Times New Roman Uni" w:cs="Times New Roman"/>
                <w:b/>
                <w:bCs/>
                <w:color w:val="000000"/>
                <w:szCs w:val="20"/>
                <w:lang w:val="en-GB" w:eastAsia="it-IT"/>
              </w:rPr>
              <w:t xml:space="preserve"> (N=1</w:t>
            </w:r>
            <w:r w:rsidRPr="009774BB">
              <w:rPr>
                <w:rFonts w:eastAsia="Times New Roman Uni" w:cs="Times New Roman"/>
                <w:b/>
                <w:bCs/>
                <w:color w:val="000000"/>
                <w:szCs w:val="20"/>
                <w:lang w:val="en-GB" w:eastAsia="it-IT"/>
              </w:rPr>
              <w:t>884) vs no-CKD</w:t>
            </w:r>
            <w:r w:rsidRPr="009774BB">
              <w:rPr>
                <w:rFonts w:eastAsia="Times New Roman Uni" w:cs="Times New Roman"/>
                <w:color w:val="000000"/>
                <w:szCs w:val="20"/>
                <w:vertAlign w:val="superscript"/>
                <w:lang w:val="en-GB" w:eastAsia="it-IT"/>
              </w:rPr>
              <w:t>a</w:t>
            </w:r>
            <w:r>
              <w:rPr>
                <w:rFonts w:eastAsia="Times New Roman Uni" w:cs="Times New Roman"/>
                <w:b/>
                <w:bCs/>
                <w:color w:val="000000"/>
                <w:szCs w:val="20"/>
                <w:lang w:val="en-GB" w:eastAsia="it-IT"/>
              </w:rPr>
              <w:t xml:space="preserve"> (N=7</w:t>
            </w:r>
            <w:r w:rsidRPr="009774BB">
              <w:rPr>
                <w:rFonts w:eastAsia="Times New Roman Uni" w:cs="Times New Roman"/>
                <w:b/>
                <w:bCs/>
                <w:color w:val="000000"/>
                <w:szCs w:val="20"/>
                <w:lang w:val="en-GB" w:eastAsia="it-IT"/>
              </w:rPr>
              <w:t>536)</w:t>
            </w:r>
          </w:p>
          <w:p w:rsidR="007E689F" w:rsidRPr="009774BB" w:rsidRDefault="007E689F" w:rsidP="001327AA">
            <w:pPr>
              <w:spacing w:after="0" w:line="360" w:lineRule="auto"/>
              <w:jc w:val="center"/>
              <w:rPr>
                <w:rFonts w:eastAsia="Times New Roman Uni" w:cs="Times New Roman"/>
                <w:b/>
                <w:bCs/>
                <w:color w:val="000000"/>
                <w:szCs w:val="20"/>
                <w:lang w:val="en-GB" w:eastAsia="it-IT"/>
              </w:rPr>
            </w:pPr>
          </w:p>
          <w:p w:rsidR="007E689F" w:rsidRPr="009774BB" w:rsidRDefault="007E689F" w:rsidP="001327AA">
            <w:pPr>
              <w:spacing w:after="0" w:line="360" w:lineRule="auto"/>
              <w:jc w:val="center"/>
              <w:rPr>
                <w:rFonts w:eastAsia="Times New Roman Uni" w:cs="Times New Roman"/>
                <w:b/>
                <w:bCs/>
                <w:color w:val="000000"/>
                <w:szCs w:val="20"/>
                <w:lang w:val="en-GB" w:eastAsia="it-IT"/>
              </w:rPr>
            </w:pPr>
            <w:r w:rsidRPr="009774BB">
              <w:rPr>
                <w:rFonts w:eastAsia="Times New Roman Uni" w:cs="Times New Roman"/>
                <w:b/>
                <w:bCs/>
                <w:color w:val="000000"/>
                <w:szCs w:val="20"/>
                <w:u w:val="single"/>
                <w:lang w:val="en-GB" w:eastAsia="it-IT"/>
              </w:rPr>
              <w:t>Total = 9420</w:t>
            </w:r>
            <w:r w:rsidRPr="009774BB">
              <w:rPr>
                <w:rFonts w:eastAsia="Times New Roman Uni" w:cs="Times New Roman"/>
                <w:b/>
                <w:bCs/>
                <w:color w:val="000000"/>
                <w:szCs w:val="20"/>
                <w:lang w:val="en-GB" w:eastAsia="it-IT"/>
              </w:rPr>
              <w:br/>
              <w:t>180 Days follow-up</w:t>
            </w:r>
          </w:p>
        </w:tc>
        <w:tc>
          <w:tcPr>
            <w:tcW w:w="1847" w:type="pct"/>
            <w:gridSpan w:val="2"/>
            <w:tcBorders>
              <w:top w:val="single" w:sz="4" w:space="0" w:color="auto"/>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b/>
                <w:bCs/>
                <w:color w:val="000000"/>
                <w:szCs w:val="20"/>
                <w:vertAlign w:val="superscript"/>
                <w:lang w:val="en-GB" w:eastAsia="it-IT"/>
              </w:rPr>
            </w:pPr>
            <w:r w:rsidRPr="009774BB">
              <w:rPr>
                <w:rFonts w:eastAsia="Times New Roman Uni" w:cs="Times New Roman"/>
                <w:b/>
                <w:bCs/>
                <w:color w:val="000000"/>
                <w:szCs w:val="20"/>
                <w:lang w:val="en-GB" w:eastAsia="it-IT"/>
              </w:rPr>
              <w:t>SECOND SENSITIVITY ANALYSIS</w:t>
            </w:r>
            <w:r w:rsidRPr="009774BB">
              <w:rPr>
                <w:rFonts w:eastAsia="Times New Roman Uni" w:cs="Times New Roman"/>
                <w:b/>
                <w:bCs/>
                <w:color w:val="000000"/>
                <w:szCs w:val="20"/>
                <w:lang w:val="en-GB" w:eastAsia="it-IT"/>
              </w:rPr>
              <w:br/>
              <w:t>Propensity-score based subpopulation</w:t>
            </w:r>
            <w:r w:rsidRPr="009774BB">
              <w:rPr>
                <w:rFonts w:eastAsia="Times New Roman Uni" w:cs="Times New Roman"/>
                <w:b/>
                <w:bCs/>
                <w:color w:val="000000"/>
                <w:szCs w:val="20"/>
                <w:lang w:val="en-GB" w:eastAsia="it-IT"/>
              </w:rPr>
              <w:br/>
              <w:t>eGFR</w:t>
            </w:r>
            <w:r>
              <w:rPr>
                <w:rFonts w:eastAsia="Times New Roman Uni" w:cs="Times New Roman"/>
                <w:color w:val="000000"/>
                <w:szCs w:val="20"/>
                <w:vertAlign w:val="superscript"/>
                <w:lang w:val="en-GB" w:eastAsia="it-IT"/>
              </w:rPr>
              <w:t>b</w:t>
            </w:r>
            <w:r w:rsidRPr="009774BB">
              <w:rPr>
                <w:rFonts w:eastAsia="Times New Roman Uni" w:cs="Times New Roman"/>
                <w:b/>
                <w:bCs/>
                <w:color w:val="000000"/>
                <w:szCs w:val="20"/>
                <w:lang w:val="en-GB" w:eastAsia="it-IT"/>
              </w:rPr>
              <w:t xml:space="preserve"> &lt;30 (N=506) and eGFR</w:t>
            </w:r>
            <w:r>
              <w:rPr>
                <w:rFonts w:eastAsia="Times New Roman Uni" w:cs="Times New Roman"/>
                <w:color w:val="000000"/>
                <w:szCs w:val="20"/>
                <w:vertAlign w:val="superscript"/>
                <w:lang w:val="en-GB" w:eastAsia="it-IT"/>
              </w:rPr>
              <w:t>b</w:t>
            </w:r>
            <w:r w:rsidRPr="009774BB">
              <w:rPr>
                <w:rFonts w:eastAsia="Times New Roman Uni" w:cs="Times New Roman"/>
                <w:b/>
                <w:bCs/>
                <w:color w:val="000000"/>
                <w:szCs w:val="20"/>
                <w:lang w:val="en-GB" w:eastAsia="it-IT"/>
              </w:rPr>
              <w:t xml:space="preserve"> ≥30 </w:t>
            </w:r>
            <w:r>
              <w:rPr>
                <w:rFonts w:eastAsia="Times New Roman Uni" w:cs="Times New Roman"/>
                <w:b/>
                <w:bCs/>
                <w:color w:val="000000"/>
                <w:szCs w:val="20"/>
                <w:lang w:val="en-GB" w:eastAsia="it-IT"/>
              </w:rPr>
              <w:t>(N=2</w:t>
            </w:r>
            <w:r w:rsidRPr="009774BB">
              <w:rPr>
                <w:rFonts w:eastAsia="Times New Roman Uni" w:cs="Times New Roman"/>
                <w:b/>
                <w:bCs/>
                <w:color w:val="000000"/>
                <w:szCs w:val="20"/>
                <w:lang w:val="en-GB" w:eastAsia="it-IT"/>
              </w:rPr>
              <w:t>024) ml/min/1.73m</w:t>
            </w:r>
            <w:r w:rsidRPr="009774BB">
              <w:rPr>
                <w:rFonts w:eastAsia="Times New Roman Uni" w:cs="Times New Roman"/>
                <w:b/>
                <w:bCs/>
                <w:color w:val="000000"/>
                <w:szCs w:val="20"/>
                <w:vertAlign w:val="superscript"/>
                <w:lang w:val="en-GB" w:eastAsia="it-IT"/>
              </w:rPr>
              <w:t>2</w:t>
            </w:r>
          </w:p>
          <w:p w:rsidR="007E689F" w:rsidRPr="009774BB" w:rsidRDefault="007E689F" w:rsidP="001327AA">
            <w:pPr>
              <w:spacing w:after="0" w:line="360" w:lineRule="auto"/>
              <w:jc w:val="center"/>
              <w:rPr>
                <w:rFonts w:eastAsia="Times New Roman Uni" w:cs="Times New Roman"/>
                <w:b/>
                <w:bCs/>
                <w:color w:val="000000"/>
                <w:szCs w:val="20"/>
                <w:lang w:val="en-GB" w:eastAsia="it-IT"/>
              </w:rPr>
            </w:pPr>
            <w:r w:rsidRPr="009774BB">
              <w:rPr>
                <w:rFonts w:eastAsia="Times New Roman Uni" w:cs="Times New Roman"/>
                <w:b/>
                <w:bCs/>
                <w:color w:val="000000"/>
                <w:szCs w:val="20"/>
                <w:u w:val="single"/>
                <w:lang w:val="en-GB" w:eastAsia="it-IT"/>
              </w:rPr>
              <w:t>Total = 2740</w:t>
            </w:r>
            <w:r w:rsidRPr="009774BB">
              <w:rPr>
                <w:rFonts w:eastAsia="Times New Roman Uni" w:cs="Times New Roman"/>
                <w:b/>
                <w:bCs/>
                <w:color w:val="000000"/>
                <w:szCs w:val="20"/>
                <w:lang w:val="en-GB" w:eastAsia="it-IT"/>
              </w:rPr>
              <w:br/>
              <w:t>180 Days follow-up</w:t>
            </w:r>
          </w:p>
        </w:tc>
      </w:tr>
      <w:tr w:rsidR="007E689F" w:rsidRPr="009774BB" w:rsidTr="001327AA">
        <w:trPr>
          <w:trHeight w:val="74"/>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p>
        </w:tc>
        <w:tc>
          <w:tcPr>
            <w:tcW w:w="1812" w:type="pct"/>
            <w:gridSpan w:val="2"/>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b/>
                <w:bCs/>
                <w:color w:val="000000"/>
                <w:szCs w:val="20"/>
                <w:lang w:val="en-GB" w:eastAsia="it-IT"/>
              </w:rPr>
            </w:pPr>
            <w:r w:rsidRPr="009774BB">
              <w:rPr>
                <w:rFonts w:eastAsia="Times New Roman Uni" w:cs="Times New Roman"/>
                <w:b/>
                <w:bCs/>
                <w:color w:val="000000"/>
                <w:szCs w:val="20"/>
                <w:lang w:val="en-GB" w:eastAsia="it-IT"/>
              </w:rPr>
              <w:t>Hazard Ratio (95% Confident interval)</w:t>
            </w:r>
          </w:p>
        </w:tc>
        <w:tc>
          <w:tcPr>
            <w:tcW w:w="1847" w:type="pct"/>
            <w:gridSpan w:val="2"/>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b/>
                <w:bCs/>
                <w:color w:val="000000"/>
                <w:szCs w:val="20"/>
                <w:lang w:val="en-GB" w:eastAsia="it-IT"/>
              </w:rPr>
            </w:pPr>
            <w:r w:rsidRPr="009774BB">
              <w:rPr>
                <w:rFonts w:eastAsia="Times New Roman Uni" w:cs="Times New Roman"/>
                <w:b/>
                <w:bCs/>
                <w:color w:val="000000"/>
                <w:szCs w:val="20"/>
                <w:lang w:val="en-GB" w:eastAsia="it-IT"/>
              </w:rPr>
              <w:t>Hazard Ratio (95% Confident interval)</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 </w:t>
            </w:r>
          </w:p>
        </w:tc>
        <w:tc>
          <w:tcPr>
            <w:tcW w:w="1015" w:type="pct"/>
            <w:tcBorders>
              <w:top w:val="nil"/>
              <w:left w:val="nil"/>
              <w:bottom w:val="single" w:sz="4" w:space="0" w:color="auto"/>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b/>
                <w:bCs/>
                <w:i/>
                <w:iCs/>
                <w:color w:val="000000"/>
                <w:szCs w:val="20"/>
                <w:lang w:val="en-GB" w:eastAsia="it-IT"/>
              </w:rPr>
            </w:pPr>
            <w:r w:rsidRPr="009774BB">
              <w:rPr>
                <w:rFonts w:eastAsia="Times New Roman Uni" w:cs="Times New Roman"/>
                <w:b/>
                <w:bCs/>
                <w:i/>
                <w:iCs/>
                <w:color w:val="000000"/>
                <w:szCs w:val="20"/>
                <w:lang w:val="en-GB" w:eastAsia="it-IT"/>
              </w:rPr>
              <w:t>All-causes</w:t>
            </w:r>
            <w:r w:rsidRPr="009774BB">
              <w:rPr>
                <w:rFonts w:eastAsia="Times New Roman Uni" w:cs="Times New Roman"/>
                <w:b/>
                <w:bCs/>
                <w:i/>
                <w:iCs/>
                <w:color w:val="000000"/>
                <w:szCs w:val="20"/>
                <w:lang w:val="en-GB" w:eastAsia="it-IT"/>
              </w:rPr>
              <w:br/>
              <w:t>mortality</w:t>
            </w:r>
          </w:p>
        </w:tc>
        <w:tc>
          <w:tcPr>
            <w:tcW w:w="798" w:type="pct"/>
            <w:tcBorders>
              <w:top w:val="nil"/>
              <w:left w:val="nil"/>
              <w:bottom w:val="single" w:sz="4" w:space="0" w:color="auto"/>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b/>
                <w:bCs/>
                <w:i/>
                <w:iCs/>
                <w:color w:val="000000"/>
                <w:szCs w:val="20"/>
                <w:lang w:val="en-GB" w:eastAsia="it-IT"/>
              </w:rPr>
            </w:pPr>
            <w:r w:rsidRPr="009774BB">
              <w:rPr>
                <w:rFonts w:eastAsia="Times New Roman Uni" w:cs="Times New Roman"/>
                <w:b/>
                <w:bCs/>
                <w:i/>
                <w:iCs/>
                <w:color w:val="000000"/>
                <w:szCs w:val="20"/>
                <w:lang w:val="en-GB" w:eastAsia="it-IT"/>
              </w:rPr>
              <w:t>Cardiovascular</w:t>
            </w:r>
            <w:r w:rsidRPr="009774BB">
              <w:rPr>
                <w:rFonts w:eastAsia="Times New Roman Uni" w:cs="Times New Roman"/>
                <w:b/>
                <w:bCs/>
                <w:i/>
                <w:iCs/>
                <w:color w:val="000000"/>
                <w:szCs w:val="20"/>
                <w:lang w:val="en-GB" w:eastAsia="it-IT"/>
              </w:rPr>
              <w:br/>
              <w:t>mortality</w:t>
            </w:r>
          </w:p>
        </w:tc>
        <w:tc>
          <w:tcPr>
            <w:tcW w:w="982" w:type="pct"/>
            <w:tcBorders>
              <w:top w:val="nil"/>
              <w:left w:val="single" w:sz="4" w:space="0" w:color="auto"/>
              <w:bottom w:val="single" w:sz="4" w:space="0" w:color="auto"/>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b/>
                <w:bCs/>
                <w:i/>
                <w:iCs/>
                <w:color w:val="000000"/>
                <w:szCs w:val="20"/>
                <w:lang w:val="en-GB" w:eastAsia="it-IT"/>
              </w:rPr>
            </w:pPr>
            <w:r w:rsidRPr="009774BB">
              <w:rPr>
                <w:rFonts w:eastAsia="Times New Roman Uni" w:cs="Times New Roman"/>
                <w:b/>
                <w:bCs/>
                <w:i/>
                <w:iCs/>
                <w:color w:val="000000"/>
                <w:szCs w:val="20"/>
                <w:lang w:val="en-GB" w:eastAsia="it-IT"/>
              </w:rPr>
              <w:t>All-causes</w:t>
            </w:r>
            <w:r w:rsidRPr="009774BB">
              <w:rPr>
                <w:rFonts w:eastAsia="Times New Roman Uni" w:cs="Times New Roman"/>
                <w:b/>
                <w:bCs/>
                <w:i/>
                <w:iCs/>
                <w:color w:val="000000"/>
                <w:szCs w:val="20"/>
                <w:lang w:val="en-GB" w:eastAsia="it-IT"/>
              </w:rPr>
              <w:br/>
              <w:t>mortality</w:t>
            </w:r>
          </w:p>
        </w:tc>
        <w:tc>
          <w:tcPr>
            <w:tcW w:w="865" w:type="pct"/>
            <w:tcBorders>
              <w:top w:val="nil"/>
              <w:left w:val="nil"/>
              <w:bottom w:val="single" w:sz="4" w:space="0" w:color="auto"/>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b/>
                <w:bCs/>
                <w:i/>
                <w:iCs/>
                <w:color w:val="000000"/>
                <w:szCs w:val="20"/>
                <w:lang w:val="en-GB" w:eastAsia="it-IT"/>
              </w:rPr>
            </w:pPr>
            <w:r w:rsidRPr="009774BB">
              <w:rPr>
                <w:rFonts w:eastAsia="Times New Roman Uni" w:cs="Times New Roman"/>
                <w:b/>
                <w:bCs/>
                <w:i/>
                <w:iCs/>
                <w:color w:val="000000"/>
                <w:szCs w:val="20"/>
                <w:lang w:val="en-GB" w:eastAsia="it-IT"/>
              </w:rPr>
              <w:t>Cardiovascular</w:t>
            </w:r>
            <w:r w:rsidRPr="009774BB">
              <w:rPr>
                <w:rFonts w:eastAsia="Times New Roman Uni" w:cs="Times New Roman"/>
                <w:b/>
                <w:bCs/>
                <w:i/>
                <w:iCs/>
                <w:color w:val="000000"/>
                <w:szCs w:val="20"/>
                <w:lang w:val="en-GB" w:eastAsia="it-IT"/>
              </w:rPr>
              <w:br/>
              <w:t>Mortality</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eGFR</w:t>
            </w:r>
            <w:r>
              <w:rPr>
                <w:rFonts w:eastAsia="Times New Roman Uni" w:cs="Times New Roman"/>
                <w:color w:val="000000"/>
                <w:szCs w:val="20"/>
                <w:vertAlign w:val="superscript"/>
                <w:lang w:val="en-GB" w:eastAsia="it-IT"/>
              </w:rPr>
              <w:t>b</w:t>
            </w:r>
            <w:r w:rsidRPr="009774BB">
              <w:rPr>
                <w:rFonts w:eastAsia="Times New Roman Uni" w:cs="Times New Roman"/>
                <w:color w:val="000000"/>
                <w:szCs w:val="20"/>
                <w:lang w:val="en-GB" w:eastAsia="it-IT"/>
              </w:rPr>
              <w:t xml:space="preserve"> ≥30 ml/min/1.73m</w:t>
            </w:r>
            <w:r w:rsidRPr="009774BB">
              <w:rPr>
                <w:rFonts w:eastAsia="Times New Roman Uni" w:cs="Times New Roman"/>
                <w:color w:val="000000"/>
                <w:szCs w:val="20"/>
                <w:vertAlign w:val="superscript"/>
                <w:lang w:val="en-GB" w:eastAsia="it-IT"/>
              </w:rPr>
              <w:t>2</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w:t>
            </w:r>
          </w:p>
        </w:tc>
        <w:tc>
          <w:tcPr>
            <w:tcW w:w="982" w:type="pct"/>
            <w:tcBorders>
              <w:top w:val="single" w:sz="4" w:space="0" w:color="auto"/>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0.97 (0.87-1.09)</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1.00 (0.87-1.15)</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Chronic kidney disease</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1.04 (0.98-1.10)</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1.00 (0.93-1.08)</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Age (years)</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1.03 (1.03-1.03)</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1.03 (1.03-1.04)</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1.03 (1.02-1.04)</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1.03 (1.02-1.05)</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Sex (</w:t>
            </w:r>
            <w:r w:rsidRPr="009774BB">
              <w:rPr>
                <w:i/>
                <w:szCs w:val="20"/>
                <w:lang w:val="en-GB"/>
              </w:rPr>
              <w:t>ref</w:t>
            </w:r>
            <w:r>
              <w:rPr>
                <w:i/>
                <w:szCs w:val="20"/>
                <w:vertAlign w:val="superscript"/>
                <w:lang w:val="en-GB"/>
              </w:rPr>
              <w:t>c</w:t>
            </w:r>
            <w:r w:rsidRPr="009774BB">
              <w:rPr>
                <w:i/>
                <w:szCs w:val="20"/>
                <w:lang w:val="en-GB"/>
              </w:rPr>
              <w:t>.</w:t>
            </w:r>
            <w:r w:rsidRPr="009774BB">
              <w:rPr>
                <w:rFonts w:eastAsia="Times New Roman Uni" w:cs="Times New Roman"/>
                <w:i/>
                <w:color w:val="000000"/>
                <w:szCs w:val="20"/>
                <w:lang w:val="en-GB" w:eastAsia="it-IT"/>
              </w:rPr>
              <w:t xml:space="preserve"> Male</w:t>
            </w:r>
            <w:r w:rsidRPr="009774BB">
              <w:rPr>
                <w:rFonts w:eastAsia="Times New Roman Uni" w:cs="Times New Roman"/>
                <w:color w:val="000000"/>
                <w:szCs w:val="20"/>
                <w:lang w:val="en-GB" w:eastAsia="it-IT"/>
              </w:rPr>
              <w:t>)</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1.02 (0.97-1.08)</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1.02 (0.95-1.09)</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0.97 (0.87-1.09)</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0.98 (0.85-1.12)</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Year of inclusion</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i/>
                <w:iCs/>
                <w:color w:val="000000"/>
                <w:szCs w:val="20"/>
                <w:lang w:val="en-GB" w:eastAsia="it-IT"/>
              </w:rPr>
            </w:pPr>
            <w:r>
              <w:rPr>
                <w:i/>
                <w:szCs w:val="20"/>
                <w:lang w:val="en-GB"/>
              </w:rPr>
              <w:t>ref</w:t>
            </w:r>
            <w:r>
              <w:rPr>
                <w:i/>
                <w:szCs w:val="20"/>
                <w:vertAlign w:val="superscript"/>
                <w:lang w:val="en-GB"/>
              </w:rPr>
              <w:t>c</w:t>
            </w:r>
            <w:r w:rsidRPr="009774BB">
              <w:rPr>
                <w:i/>
                <w:szCs w:val="20"/>
                <w:lang w:val="en-GB"/>
              </w:rPr>
              <w:t>.</w:t>
            </w:r>
            <w:r w:rsidRPr="009774BB">
              <w:rPr>
                <w:rFonts w:eastAsia="Times New Roman Uni" w:cs="Times New Roman"/>
                <w:i/>
                <w:iCs/>
                <w:color w:val="000000"/>
                <w:szCs w:val="20"/>
                <w:lang w:val="en-GB" w:eastAsia="it-IT"/>
              </w:rPr>
              <w:t xml:space="preserve"> 1997 to 2000</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i/>
                <w:iCs/>
                <w:color w:val="000000"/>
                <w:szCs w:val="20"/>
                <w:lang w:val="en-GB" w:eastAsia="it-IT"/>
              </w:rPr>
            </w:pPr>
            <w:r w:rsidRPr="009774BB">
              <w:rPr>
                <w:i/>
                <w:szCs w:val="20"/>
                <w:lang w:val="en-GB"/>
              </w:rPr>
              <w:t>ref</w:t>
            </w:r>
            <w:r>
              <w:rPr>
                <w:i/>
                <w:szCs w:val="20"/>
                <w:vertAlign w:val="superscript"/>
                <w:lang w:val="en-GB"/>
              </w:rPr>
              <w:t>c</w:t>
            </w:r>
            <w:r w:rsidRPr="009774BB">
              <w:rPr>
                <w:i/>
                <w:szCs w:val="20"/>
                <w:lang w:val="en-GB"/>
              </w:rPr>
              <w:t>.</w:t>
            </w:r>
            <w:r w:rsidRPr="009774BB">
              <w:rPr>
                <w:rFonts w:eastAsia="Times New Roman Uni" w:cs="Times New Roman"/>
                <w:i/>
                <w:iCs/>
                <w:color w:val="000000"/>
                <w:szCs w:val="20"/>
                <w:lang w:val="en-GB" w:eastAsia="it-IT"/>
              </w:rPr>
              <w:t>1997 to 2000</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i/>
                <w:iCs/>
                <w:color w:val="000000"/>
                <w:szCs w:val="20"/>
                <w:lang w:val="en-GB" w:eastAsia="it-IT"/>
              </w:rPr>
            </w:pPr>
            <w:r w:rsidRPr="009774BB">
              <w:rPr>
                <w:i/>
                <w:szCs w:val="20"/>
                <w:lang w:val="en-GB"/>
              </w:rPr>
              <w:t>ref</w:t>
            </w:r>
            <w:r>
              <w:rPr>
                <w:i/>
                <w:szCs w:val="20"/>
                <w:vertAlign w:val="superscript"/>
                <w:lang w:val="en-GB"/>
              </w:rPr>
              <w:t>c</w:t>
            </w:r>
            <w:r w:rsidRPr="009774BB">
              <w:rPr>
                <w:i/>
                <w:szCs w:val="20"/>
                <w:lang w:val="en-GB"/>
              </w:rPr>
              <w:t>.</w:t>
            </w:r>
            <w:r w:rsidRPr="009774BB">
              <w:rPr>
                <w:rFonts w:eastAsia="Times New Roman Uni" w:cs="Times New Roman"/>
                <w:i/>
                <w:iCs/>
                <w:color w:val="000000"/>
                <w:szCs w:val="20"/>
                <w:lang w:val="en-GB" w:eastAsia="it-IT"/>
              </w:rPr>
              <w:t>1997 to 2000</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i/>
                <w:iCs/>
                <w:color w:val="000000"/>
                <w:szCs w:val="20"/>
                <w:lang w:val="en-GB" w:eastAsia="it-IT"/>
              </w:rPr>
            </w:pPr>
            <w:r w:rsidRPr="009774BB">
              <w:rPr>
                <w:i/>
                <w:szCs w:val="20"/>
                <w:lang w:val="en-GB"/>
              </w:rPr>
              <w:t>ref</w:t>
            </w:r>
            <w:r>
              <w:rPr>
                <w:i/>
                <w:szCs w:val="20"/>
                <w:vertAlign w:val="superscript"/>
                <w:lang w:val="en-GB"/>
              </w:rPr>
              <w:t>c</w:t>
            </w:r>
            <w:r w:rsidRPr="009774BB">
              <w:rPr>
                <w:i/>
                <w:szCs w:val="20"/>
                <w:lang w:val="en-GB"/>
              </w:rPr>
              <w:t>.</w:t>
            </w:r>
            <w:r w:rsidRPr="009774BB">
              <w:rPr>
                <w:rFonts w:eastAsia="Times New Roman Uni" w:cs="Times New Roman"/>
                <w:i/>
                <w:iCs/>
                <w:color w:val="000000"/>
                <w:szCs w:val="20"/>
                <w:lang w:val="en-GB" w:eastAsia="it-IT"/>
              </w:rPr>
              <w:t>1997 to 2000</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 xml:space="preserve">     2001 to 2004</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1.51 (1.41-1.62)</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1.44 (1.33-1.55)</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1.41 (1.24-1.60)</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1.43 (1.22-1.66)</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 xml:space="preserve">     2005 to 2008</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1.53 (1.43-1.65)</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1.29 (1.18-1.40)</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1.48 (1.29-1.70)</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1.31 (1.11-1.56)</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 xml:space="preserve">     2009 to 2012</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0.76 (0.69-0.83)</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0.46 (0.40-0.52)</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0.86 (0.73-1.02)</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0.59 (0.47-0.74)</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Alcohol abuse</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1.24 (1.11-1.39)</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1.20 (1.04-1.39)</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1.03 (0.80-1.33)</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0.87 (0.61-1.24)</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Acute myocardial infarction</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1.04 (0.97-1.12)</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1.12 (1.03-1.21)</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1.02 (0.90-1.16)</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1.05 (0.91-1.22)</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Diabetes mellitus</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1.09 (1.01-1.18)</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1.15 (1.04-1.26)</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1.13 (0.96-1.34)</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1.19 (0.97-1.47)</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Arterial thrombosis</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1.03 (0.89-1.20)</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1.02 (0.85-1.23)</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0.95 (0.74-1.21)</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0.99 (0.73-1.33)</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Pulmonary thrombosis</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1.04 (0.88-1.24)</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0.97 (0.79-1.18)</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1.09 (0.77-1.55)</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1.01 (0.66-1.54)</w:t>
            </w:r>
          </w:p>
        </w:tc>
      </w:tr>
      <w:tr w:rsidR="007E689F" w:rsidRPr="009774BB" w:rsidTr="001327AA">
        <w:trPr>
          <w:trHeight w:val="465"/>
        </w:trPr>
        <w:tc>
          <w:tcPr>
            <w:tcW w:w="1341" w:type="pct"/>
            <w:tcBorders>
              <w:top w:val="nil"/>
              <w:left w:val="nil"/>
              <w:bottom w:val="nil"/>
              <w:right w:val="nil"/>
            </w:tcBorders>
            <w:shd w:val="clear" w:color="000000" w:fill="FFFFFF"/>
            <w:noWrap/>
            <w:vAlign w:val="bottom"/>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Heart failure</w:t>
            </w:r>
          </w:p>
        </w:tc>
        <w:tc>
          <w:tcPr>
            <w:tcW w:w="1015" w:type="pct"/>
            <w:tcBorders>
              <w:top w:val="nil"/>
              <w:left w:val="nil"/>
              <w:bottom w:val="nil"/>
              <w:right w:val="nil"/>
            </w:tcBorders>
            <w:shd w:val="clear" w:color="000000" w:fill="FFFFFF"/>
            <w:noWrap/>
            <w:vAlign w:val="bottom"/>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1.17 (1.10-1.24)</w:t>
            </w:r>
          </w:p>
        </w:tc>
        <w:tc>
          <w:tcPr>
            <w:tcW w:w="798" w:type="pct"/>
            <w:tcBorders>
              <w:top w:val="nil"/>
              <w:left w:val="nil"/>
              <w:bottom w:val="nil"/>
              <w:right w:val="single" w:sz="4" w:space="0" w:color="auto"/>
            </w:tcBorders>
            <w:shd w:val="clear" w:color="000000" w:fill="FFFFFF"/>
            <w:noWrap/>
            <w:vAlign w:val="bottom"/>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1.32 (1.22-1.42)</w:t>
            </w:r>
          </w:p>
        </w:tc>
        <w:tc>
          <w:tcPr>
            <w:tcW w:w="982" w:type="pct"/>
            <w:tcBorders>
              <w:top w:val="nil"/>
              <w:left w:val="single" w:sz="4" w:space="0" w:color="auto"/>
              <w:bottom w:val="nil"/>
              <w:right w:val="nil"/>
            </w:tcBorders>
            <w:shd w:val="clear" w:color="000000" w:fill="FFFFFF"/>
            <w:noWrap/>
            <w:vAlign w:val="bottom"/>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1.12 (1.01-1.25)</w:t>
            </w:r>
          </w:p>
        </w:tc>
        <w:tc>
          <w:tcPr>
            <w:tcW w:w="865" w:type="pct"/>
            <w:tcBorders>
              <w:top w:val="nil"/>
              <w:left w:val="nil"/>
              <w:bottom w:val="nil"/>
              <w:right w:val="nil"/>
            </w:tcBorders>
            <w:shd w:val="clear" w:color="000000" w:fill="FFFFFF"/>
            <w:noWrap/>
            <w:vAlign w:val="bottom"/>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1.28 (1.12-1.47)</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Hypertension</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1.02 (0.96-1.08)</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1.08 (1-10.170)</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0.99 (0.88-1.10)</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0.96 (0.84-1.11)</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Cancer</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1.27 (1.20-1.35)</w:t>
            </w:r>
          </w:p>
        </w:tc>
        <w:tc>
          <w:tcPr>
            <w:tcW w:w="798" w:type="pct"/>
            <w:tcBorders>
              <w:top w:val="nil"/>
              <w:left w:val="nil"/>
              <w:bottom w:val="nil"/>
              <w:right w:val="single" w:sz="4" w:space="0" w:color="auto"/>
            </w:tcBorders>
            <w:shd w:val="clear" w:color="000000" w:fill="FFFFFF"/>
            <w:noWrap/>
            <w:vAlign w:val="bottom"/>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0.94 (0.87-1.02)</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1.28 (1.16-1.42)</w:t>
            </w:r>
          </w:p>
        </w:tc>
        <w:tc>
          <w:tcPr>
            <w:tcW w:w="865" w:type="pct"/>
            <w:tcBorders>
              <w:top w:val="nil"/>
              <w:left w:val="nil"/>
              <w:bottom w:val="nil"/>
              <w:right w:val="nil"/>
            </w:tcBorders>
            <w:shd w:val="clear" w:color="000000" w:fill="FFFFFF"/>
            <w:noWrap/>
            <w:vAlign w:val="bottom"/>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1.01 (0.89-1.15)</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COPD</w:t>
            </w:r>
            <w:r>
              <w:rPr>
                <w:rFonts w:eastAsia="Times New Roman Uni" w:cs="Times New Roman"/>
                <w:color w:val="000000"/>
                <w:szCs w:val="20"/>
                <w:vertAlign w:val="superscript"/>
                <w:lang w:val="en-GB" w:eastAsia="it-IT"/>
              </w:rPr>
              <w:t>d</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1.10 (1.03-1.18)</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1.03 (0.95-1.11)</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1.17 (1.03-1.32)</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1.06 (0.91-1.24)</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Liver disease</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1.14 (1.01-1.30)</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1.14 (0.97-1.33)</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0.94 (0.69-1.29)</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0.77 (0.50-1.21)</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Peripheral arterial disease</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1.24 (1.15-1.33)</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1.34 (1.23-1.47)</w:t>
            </w:r>
          </w:p>
        </w:tc>
        <w:tc>
          <w:tcPr>
            <w:tcW w:w="982" w:type="pct"/>
            <w:tcBorders>
              <w:top w:val="nil"/>
              <w:left w:val="single" w:sz="4" w:space="0" w:color="auto"/>
              <w:bottom w:val="nil"/>
              <w:right w:val="nil"/>
            </w:tcBorders>
            <w:shd w:val="clear" w:color="000000" w:fill="FFFFFF"/>
            <w:noWrap/>
            <w:vAlign w:val="bottom"/>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1.18 (1.01-1.37)</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1.32 (1.10-1.58)</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Stroke</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1.15 (0.98-1.35)</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1.25 (1.03-1.52)</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1.33 (1.01-1.74)</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1.39 (1.00-1.92)</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Syncope</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1.09 (1.00-1.19)</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1.14 (1.03-1.27)</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1.04 (0.89-1.22)</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1.11 (0.92-1.34)</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lastRenderedPageBreak/>
              <w:t>Ventricular Arrhythmias</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1.11 (0.83-1.47)</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1.24 (0.90-1.72)</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0.91 (0.58-1.43)</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1.19 (0.72-1.96)</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Lipid modifying agents</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0.82 (0.74-0.91)</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0.85 (0.74-0.97)</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0.90 (0.76-1.08)</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0.91 (0.73-1.13)</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Loop diuretic</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1.38 (1.30-1.47)</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1.37 (1.28-1.48)</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1.25 (1.12-1.39)</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1.32 (1.15-1.51)</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RASi</w:t>
            </w:r>
            <w:r>
              <w:rPr>
                <w:rFonts w:eastAsia="Times New Roman Uni" w:cs="Times New Roman"/>
                <w:color w:val="000000"/>
                <w:szCs w:val="20"/>
                <w:vertAlign w:val="superscript"/>
                <w:lang w:val="en-GB" w:eastAsia="it-IT"/>
              </w:rPr>
              <w:t>e</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0.93 (0.88-0.99)</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1.02 (0.95-1.09)</w:t>
            </w:r>
          </w:p>
        </w:tc>
        <w:tc>
          <w:tcPr>
            <w:tcW w:w="982" w:type="pct"/>
            <w:tcBorders>
              <w:top w:val="nil"/>
              <w:left w:val="single" w:sz="4" w:space="0" w:color="auto"/>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0.89 (0.80-0.99)</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0.99 (0.87-1.13)</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Low dose aspirin</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1.17 (1.08-1.27)</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1.16 (1.04-1.28)</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1.19 (1.04-1.37)</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1.09 (0.93-1.29)</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Warfarin</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1.22 (0.98-1.51)</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1.25 (0.97-1.60)</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1.49 (0.97-2.27)</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1.60 (1.01-2.53)</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Diabetes mellitus medication</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0.99 (0.91-1.07)</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0.93 (0.84-1.03)</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1.01 (0.85-1.20)</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1.00 (0.80-1.24)</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Antithrombotic therapy</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0.84 (0.77-0.91)</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0.90 (0.82-1.00)</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0.86 (0.74-0.98)</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1.02 (0.86-1.21)</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COPD</w:t>
            </w:r>
            <w:r>
              <w:rPr>
                <w:rFonts w:eastAsia="Times New Roman Uni" w:cs="Times New Roman"/>
                <w:color w:val="000000"/>
                <w:szCs w:val="20"/>
                <w:vertAlign w:val="superscript"/>
                <w:lang w:val="en-GB" w:eastAsia="it-IT"/>
              </w:rPr>
              <w:t>d</w:t>
            </w:r>
            <w:r w:rsidRPr="009774BB">
              <w:rPr>
                <w:rFonts w:eastAsia="Times New Roman Uni" w:cs="Times New Roman"/>
                <w:color w:val="000000"/>
                <w:szCs w:val="20"/>
                <w:lang w:val="en-GB" w:eastAsia="it-IT"/>
              </w:rPr>
              <w:t xml:space="preserve"> drugs</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1.08 (0.99-1.18)</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1.07 (0.97-1.19)</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1.06 (0.90-1.23)</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1.05 (0.86-1.28)</w:t>
            </w:r>
          </w:p>
        </w:tc>
      </w:tr>
      <w:tr w:rsidR="007E689F" w:rsidRPr="009774BB" w:rsidTr="001327AA">
        <w:trPr>
          <w:trHeight w:val="465"/>
        </w:trPr>
        <w:tc>
          <w:tcPr>
            <w:tcW w:w="1341"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NSAIDs</w:t>
            </w:r>
            <w:r>
              <w:rPr>
                <w:rFonts w:eastAsia="Times New Roman Uni" w:cs="Times New Roman"/>
                <w:color w:val="000000"/>
                <w:szCs w:val="20"/>
                <w:vertAlign w:val="superscript"/>
                <w:lang w:val="en-GB" w:eastAsia="it-IT"/>
              </w:rPr>
              <w:t>f</w:t>
            </w:r>
          </w:p>
        </w:tc>
        <w:tc>
          <w:tcPr>
            <w:tcW w:w="101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1.02 (0.95-1.10)</w:t>
            </w:r>
          </w:p>
        </w:tc>
        <w:tc>
          <w:tcPr>
            <w:tcW w:w="798" w:type="pct"/>
            <w:tcBorders>
              <w:top w:val="nil"/>
              <w:left w:val="nil"/>
              <w:bottom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0.96 (0.88-1.05)</w:t>
            </w:r>
          </w:p>
        </w:tc>
        <w:tc>
          <w:tcPr>
            <w:tcW w:w="982" w:type="pct"/>
            <w:tcBorders>
              <w:top w:val="nil"/>
              <w:left w:val="single" w:sz="4" w:space="0" w:color="auto"/>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0.98 (0.87-1.10)</w:t>
            </w:r>
          </w:p>
        </w:tc>
        <w:tc>
          <w:tcPr>
            <w:tcW w:w="865" w:type="pct"/>
            <w:tcBorders>
              <w:top w:val="nil"/>
              <w:left w:val="nil"/>
              <w:bottom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0.86 (0.74-1.00)</w:t>
            </w:r>
          </w:p>
        </w:tc>
      </w:tr>
      <w:tr w:rsidR="007E689F" w:rsidRPr="009774BB" w:rsidTr="001327AA">
        <w:trPr>
          <w:trHeight w:val="465"/>
        </w:trPr>
        <w:tc>
          <w:tcPr>
            <w:tcW w:w="1341" w:type="pct"/>
            <w:tcBorders>
              <w:top w:val="nil"/>
              <w:left w:val="nil"/>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CHA2DS2VASc</w:t>
            </w:r>
            <w:r>
              <w:rPr>
                <w:rFonts w:eastAsia="Times New Roman Uni" w:cs="Times New Roman"/>
                <w:color w:val="000000"/>
                <w:szCs w:val="20"/>
                <w:vertAlign w:val="superscript"/>
                <w:lang w:val="en-GB" w:eastAsia="it-IT"/>
              </w:rPr>
              <w:t>g</w:t>
            </w:r>
            <w:r w:rsidRPr="009774BB">
              <w:rPr>
                <w:rFonts w:eastAsia="Times New Roman Uni" w:cs="Times New Roman"/>
                <w:color w:val="000000"/>
                <w:szCs w:val="20"/>
                <w:lang w:val="en-GB" w:eastAsia="it-IT"/>
              </w:rPr>
              <w:t xml:space="preserve"> score</w:t>
            </w:r>
          </w:p>
        </w:tc>
        <w:tc>
          <w:tcPr>
            <w:tcW w:w="1015" w:type="pct"/>
            <w:tcBorders>
              <w:top w:val="nil"/>
              <w:left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0.99 (0.96-1.01)</w:t>
            </w:r>
          </w:p>
        </w:tc>
        <w:tc>
          <w:tcPr>
            <w:tcW w:w="798" w:type="pct"/>
            <w:tcBorders>
              <w:top w:val="nil"/>
              <w:left w:val="nil"/>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0.99 (0.96-1.02)</w:t>
            </w:r>
          </w:p>
        </w:tc>
        <w:tc>
          <w:tcPr>
            <w:tcW w:w="982" w:type="pct"/>
            <w:tcBorders>
              <w:top w:val="nil"/>
              <w:left w:val="single" w:sz="4" w:space="0" w:color="auto"/>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1.00 (0.96-1.05)</w:t>
            </w:r>
          </w:p>
        </w:tc>
        <w:tc>
          <w:tcPr>
            <w:tcW w:w="865" w:type="pct"/>
            <w:tcBorders>
              <w:top w:val="nil"/>
              <w:left w:val="nil"/>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1.01 (0.95-1.07)</w:t>
            </w:r>
          </w:p>
        </w:tc>
      </w:tr>
      <w:tr w:rsidR="007E689F" w:rsidRPr="009774BB" w:rsidTr="001327AA">
        <w:trPr>
          <w:trHeight w:val="465"/>
        </w:trPr>
        <w:tc>
          <w:tcPr>
            <w:tcW w:w="1341" w:type="pct"/>
            <w:tcBorders>
              <w:top w:val="nil"/>
              <w:left w:val="nil"/>
              <w:bottom w:val="single" w:sz="4" w:space="0" w:color="auto"/>
              <w:right w:val="nil"/>
            </w:tcBorders>
            <w:shd w:val="clear" w:color="000000" w:fill="FFFFFF"/>
            <w:noWrap/>
            <w:vAlign w:val="bottom"/>
            <w:hideMark/>
          </w:tcPr>
          <w:p w:rsidR="007E689F" w:rsidRPr="009774BB" w:rsidRDefault="007E689F" w:rsidP="001327AA">
            <w:pPr>
              <w:spacing w:after="0" w:line="360" w:lineRule="auto"/>
              <w:jc w:val="left"/>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Digoxin dosage (µg)</w:t>
            </w:r>
          </w:p>
        </w:tc>
        <w:tc>
          <w:tcPr>
            <w:tcW w:w="1015" w:type="pct"/>
            <w:tcBorders>
              <w:top w:val="nil"/>
              <w:left w:val="nil"/>
              <w:bottom w:val="single" w:sz="4" w:space="0" w:color="auto"/>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1.00 (1.00-1.00)</w:t>
            </w:r>
          </w:p>
        </w:tc>
        <w:tc>
          <w:tcPr>
            <w:tcW w:w="798" w:type="pct"/>
            <w:tcBorders>
              <w:top w:val="nil"/>
              <w:left w:val="nil"/>
              <w:bottom w:val="single" w:sz="4" w:space="0" w:color="auto"/>
              <w:right w:val="single" w:sz="4" w:space="0" w:color="auto"/>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1.00 (1.00-1.00)</w:t>
            </w:r>
          </w:p>
        </w:tc>
        <w:tc>
          <w:tcPr>
            <w:tcW w:w="982" w:type="pct"/>
            <w:tcBorders>
              <w:top w:val="nil"/>
              <w:left w:val="single" w:sz="4" w:space="0" w:color="auto"/>
              <w:bottom w:val="single" w:sz="4" w:space="0" w:color="auto"/>
              <w:right w:val="nil"/>
            </w:tcBorders>
            <w:shd w:val="clear" w:color="000000" w:fill="FFFFFF"/>
            <w:noWrap/>
            <w:vAlign w:val="bottom"/>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1.00 (1.00-1.00)</w:t>
            </w:r>
          </w:p>
        </w:tc>
        <w:tc>
          <w:tcPr>
            <w:tcW w:w="865" w:type="pct"/>
            <w:tcBorders>
              <w:top w:val="nil"/>
              <w:left w:val="nil"/>
              <w:bottom w:val="single" w:sz="4" w:space="0" w:color="auto"/>
              <w:right w:val="nil"/>
            </w:tcBorders>
            <w:shd w:val="clear" w:color="000000" w:fill="FFFFFF"/>
            <w:noWrap/>
            <w:vAlign w:val="bottom"/>
            <w:hideMark/>
          </w:tcPr>
          <w:p w:rsidR="007E689F" w:rsidRPr="009774BB" w:rsidRDefault="007E689F" w:rsidP="001327AA">
            <w:pPr>
              <w:spacing w:after="0" w:line="360" w:lineRule="auto"/>
              <w:jc w:val="center"/>
              <w:rPr>
                <w:rFonts w:eastAsia="Times New Roman Uni" w:cs="Times New Roman"/>
                <w:color w:val="000000"/>
                <w:szCs w:val="20"/>
                <w:lang w:val="en-GB" w:eastAsia="it-IT"/>
              </w:rPr>
            </w:pPr>
            <w:r w:rsidRPr="009774BB">
              <w:rPr>
                <w:rFonts w:eastAsia="Times New Roman Uni" w:cs="Times New Roman"/>
                <w:color w:val="000000"/>
                <w:szCs w:val="20"/>
                <w:lang w:val="en-GB" w:eastAsia="it-IT"/>
              </w:rPr>
              <w:t>1.00 (1.00-1.00)</w:t>
            </w:r>
          </w:p>
        </w:tc>
      </w:tr>
    </w:tbl>
    <w:p w:rsidR="007E689F" w:rsidRPr="009774BB" w:rsidRDefault="007E689F" w:rsidP="007E689F">
      <w:pPr>
        <w:rPr>
          <w:szCs w:val="20"/>
          <w:lang w:val="en-GB"/>
        </w:rPr>
      </w:pPr>
      <w:r>
        <w:rPr>
          <w:szCs w:val="20"/>
          <w:lang w:val="en-GB"/>
        </w:rPr>
        <w:t>Hazard Ratio</w:t>
      </w:r>
      <w:r w:rsidRPr="009774BB">
        <w:rPr>
          <w:szCs w:val="20"/>
          <w:lang w:val="en-GB"/>
        </w:rPr>
        <w:t xml:space="preserve"> and Confident Interval was estimated using multivariate Cox proportional hazard analysis adjusted for age, sex, year of inclusion, diagnosis of alcohol abuse, myocardial infarction, diabetes mellitus, heart failure, hypertension, cancer, chronic obstructive pulmonary disease, liver disease, syncope, peripheral arterial disease, ventricular arrhythmia, serum haemoglobin and potassium concentration, systemic thromboembolism history and CHA2DS2-VASc score. Moreover, the model was adjusted for digoxin dosage and co-administrated drugs.</w:t>
      </w:r>
    </w:p>
    <w:p w:rsidR="00F17F9D" w:rsidRPr="007E689F" w:rsidRDefault="007E689F" w:rsidP="007E689F">
      <w:pPr>
        <w:rPr>
          <w:lang w:val="en-GB"/>
        </w:rPr>
      </w:pPr>
      <w:r w:rsidRPr="009774BB">
        <w:rPr>
          <w:rFonts w:eastAsia="Times New Roman Uni" w:cs="Times New Roman"/>
          <w:color w:val="000000"/>
          <w:szCs w:val="20"/>
          <w:vertAlign w:val="superscript"/>
          <w:lang w:val="en-GB" w:eastAsia="it-IT"/>
        </w:rPr>
        <w:t>a</w:t>
      </w:r>
      <w:r w:rsidRPr="009774BB">
        <w:rPr>
          <w:szCs w:val="20"/>
          <w:lang w:val="en-GB"/>
        </w:rPr>
        <w:t xml:space="preserve">CKD = chronic kidney disease. </w:t>
      </w:r>
      <w:r>
        <w:rPr>
          <w:rFonts w:eastAsia="Times New Roman Uni" w:cs="Times New Roman"/>
          <w:color w:val="000000"/>
          <w:szCs w:val="20"/>
          <w:vertAlign w:val="superscript"/>
          <w:lang w:val="en-GB" w:eastAsia="it-IT"/>
        </w:rPr>
        <w:t>b</w:t>
      </w:r>
      <w:r w:rsidRPr="009774BB">
        <w:rPr>
          <w:szCs w:val="20"/>
          <w:lang w:val="en-GB"/>
        </w:rPr>
        <w:t>eGFR = estimated Glomerular Filtration Rate.</w:t>
      </w:r>
      <w:r>
        <w:rPr>
          <w:szCs w:val="20"/>
          <w:lang w:val="en-GB"/>
        </w:rPr>
        <w:t xml:space="preserve"> </w:t>
      </w:r>
      <w:r>
        <w:rPr>
          <w:szCs w:val="20"/>
          <w:vertAlign w:val="superscript"/>
          <w:lang w:val="en-GB"/>
        </w:rPr>
        <w:t>c</w:t>
      </w:r>
      <w:r w:rsidRPr="009774BB">
        <w:rPr>
          <w:szCs w:val="20"/>
          <w:lang w:val="en-GB"/>
        </w:rPr>
        <w:t>ref. = reference.</w:t>
      </w:r>
      <w:r>
        <w:rPr>
          <w:szCs w:val="20"/>
          <w:lang w:val="en-GB"/>
        </w:rPr>
        <w:t xml:space="preserve"> </w:t>
      </w:r>
      <w:r>
        <w:rPr>
          <w:rFonts w:eastAsia="Times New Roman Uni" w:cs="Times New Roman"/>
          <w:color w:val="000000"/>
          <w:szCs w:val="20"/>
          <w:vertAlign w:val="superscript"/>
          <w:lang w:val="en-GB" w:eastAsia="it-IT"/>
        </w:rPr>
        <w:t>d</w:t>
      </w:r>
      <w:r w:rsidRPr="009774BB">
        <w:rPr>
          <w:szCs w:val="20"/>
          <w:lang w:val="en-GB"/>
        </w:rPr>
        <w:t>COPD = Chronic Obstructive Pulmonary Disease.</w:t>
      </w:r>
      <w:r>
        <w:rPr>
          <w:szCs w:val="20"/>
          <w:lang w:val="en-GB"/>
        </w:rPr>
        <w:t xml:space="preserve"> </w:t>
      </w:r>
      <w:r>
        <w:rPr>
          <w:rFonts w:eastAsia="Times New Roman Uni" w:cs="Times New Roman"/>
          <w:color w:val="000000"/>
          <w:szCs w:val="20"/>
          <w:vertAlign w:val="superscript"/>
          <w:lang w:val="en-GB" w:eastAsia="it-IT"/>
        </w:rPr>
        <w:t>e</w:t>
      </w:r>
      <w:r w:rsidRPr="009774BB">
        <w:rPr>
          <w:szCs w:val="20"/>
          <w:lang w:val="en-GB"/>
        </w:rPr>
        <w:t>RASi = Renin Angiotensin System inhibitor.</w:t>
      </w:r>
      <w:r w:rsidRPr="00454C3B">
        <w:rPr>
          <w:rFonts w:eastAsia="Times New Roman Uni" w:cs="Times New Roman"/>
          <w:color w:val="000000"/>
          <w:szCs w:val="20"/>
          <w:vertAlign w:val="superscript"/>
          <w:lang w:val="en-GB" w:eastAsia="it-IT"/>
        </w:rPr>
        <w:t xml:space="preserve"> </w:t>
      </w:r>
      <w:r>
        <w:rPr>
          <w:rFonts w:eastAsia="Times New Roman Uni" w:cs="Times New Roman"/>
          <w:color w:val="000000"/>
          <w:szCs w:val="20"/>
          <w:vertAlign w:val="superscript"/>
          <w:lang w:val="en-GB" w:eastAsia="it-IT"/>
        </w:rPr>
        <w:t>f</w:t>
      </w:r>
      <w:r>
        <w:rPr>
          <w:szCs w:val="20"/>
          <w:lang w:val="en-GB"/>
        </w:rPr>
        <w:t xml:space="preserve">NSAID = Non-Steroidal Anti-inflammatory Drugs. </w:t>
      </w:r>
      <w:r>
        <w:rPr>
          <w:rFonts w:eastAsia="Times New Roman Uni" w:cs="Times New Roman"/>
          <w:color w:val="000000"/>
          <w:szCs w:val="20"/>
          <w:vertAlign w:val="superscript"/>
          <w:lang w:val="en-GB" w:eastAsia="it-IT"/>
        </w:rPr>
        <w:t>g</w:t>
      </w:r>
      <w:r w:rsidRPr="009774BB">
        <w:rPr>
          <w:szCs w:val="20"/>
          <w:lang w:val="en-GB"/>
        </w:rPr>
        <w:t xml:space="preserve">CHA2DS2-VASc score (C = Congestive heart failure; H = Hypertension; A = Age; D = Diabetes; S = Stroke; V = Vascular disease; sc = Sex category). </w:t>
      </w:r>
      <w:bookmarkStart w:id="0" w:name="_GoBack"/>
      <w:bookmarkEnd w:id="0"/>
    </w:p>
    <w:sectPr w:rsidR="00F17F9D" w:rsidRPr="007E68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0"/>
    <w:family w:val="auto"/>
    <w:pitch w:val="variable"/>
  </w:font>
  <w:font w:name="Times New Roman Uni">
    <w:panose1 w:val="02020603050405020304"/>
    <w:charset w:val="80"/>
    <w:family w:val="roman"/>
    <w:pitch w:val="variable"/>
    <w:sig w:usb0="B334AAFF" w:usb1="F9DFFFFF" w:usb2="0000003E" w:usb3="00000000" w:csb0="001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9F"/>
    <w:rsid w:val="0003102C"/>
    <w:rsid w:val="00101168"/>
    <w:rsid w:val="00367E0B"/>
    <w:rsid w:val="00371BAC"/>
    <w:rsid w:val="003D6F23"/>
    <w:rsid w:val="004E6642"/>
    <w:rsid w:val="005872F1"/>
    <w:rsid w:val="006E211F"/>
    <w:rsid w:val="007A1C99"/>
    <w:rsid w:val="007B4070"/>
    <w:rsid w:val="007E689F"/>
    <w:rsid w:val="00A04189"/>
    <w:rsid w:val="00AB122F"/>
    <w:rsid w:val="00B628A7"/>
    <w:rsid w:val="00BB7EE1"/>
    <w:rsid w:val="00E54114"/>
    <w:rsid w:val="00F00CE2"/>
    <w:rsid w:val="00F47B82"/>
    <w:rsid w:val="00F668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B2B64-B06C-40F6-A96D-A9349DE5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689F"/>
    <w:pPr>
      <w:suppressAutoHyphens/>
      <w:spacing w:line="240" w:lineRule="auto"/>
      <w:jc w:val="both"/>
    </w:pPr>
    <w:rPr>
      <w:rFonts w:ascii="Times New Roman" w:eastAsia="SimSun" w:hAnsi="Times New Roman" w:cs="font291"/>
      <w:sz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Sessa</dc:creator>
  <cp:keywords/>
  <dc:description/>
  <cp:lastModifiedBy>Maurizio Sessa</cp:lastModifiedBy>
  <cp:revision>1</cp:revision>
  <dcterms:created xsi:type="dcterms:W3CDTF">2016-05-16T11:31:00Z</dcterms:created>
  <dcterms:modified xsi:type="dcterms:W3CDTF">2016-05-16T11:31:00Z</dcterms:modified>
</cp:coreProperties>
</file>