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F3" w:rsidRPr="00D75C65" w:rsidRDefault="007A72F3" w:rsidP="007A72F3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Table. AIC values for candidate models explaining directional distribution shifts</w:t>
      </w:r>
    </w:p>
    <w:p w:rsidR="009525EA" w:rsidRPr="00D75C65" w:rsidRDefault="009525EA" w:rsidP="009525EA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40"/>
        <w:gridCol w:w="1260"/>
      </w:tblGrid>
      <w:tr w:rsidR="009525EA" w:rsidRPr="00D75C65" w:rsidTr="000477C1">
        <w:tc>
          <w:tcPr>
            <w:tcW w:w="3060" w:type="dxa"/>
            <w:tcBorders>
              <w:top w:val="single" w:sz="12" w:space="0" w:color="auto"/>
              <w:left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Model Name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ind w:right="-108" w:hanging="18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Upper limit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98703F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703F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 w:rsidRPr="0098703F">
              <w:rPr>
                <w:rFonts w:ascii="Times New Roman" w:hAnsi="Times New Roman" w:cs="Times New Roman"/>
                <w:szCs w:val="24"/>
              </w:rPr>
              <w:t>*Snow +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8703F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98703F">
              <w:rPr>
                <w:rFonts w:ascii="Times New Roman" w:hAnsi="Times New Roman" w:cs="Times New Roman"/>
                <w:szCs w:val="24"/>
              </w:rPr>
              <w:t xml:space="preserve"> + Rain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537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98703F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703F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98703F">
              <w:rPr>
                <w:rFonts w:ascii="Times New Roman" w:hAnsi="Times New Roman" w:cs="Times New Roman"/>
                <w:szCs w:val="24"/>
              </w:rPr>
              <w:t xml:space="preserve">*Snow + </w:t>
            </w:r>
            <w:proofErr w:type="spellStart"/>
            <w:r w:rsidRPr="0098703F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703F">
              <w:rPr>
                <w:rFonts w:ascii="Times New Roman" w:hAnsi="Times New Roman" w:cs="Times New Roman"/>
                <w:szCs w:val="24"/>
              </w:rPr>
              <w:t>+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703F">
              <w:rPr>
                <w:rFonts w:ascii="Times New Roman" w:hAnsi="Times New Roman" w:cs="Times New Roman"/>
                <w:szCs w:val="24"/>
              </w:rPr>
              <w:t>Rain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542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 xml:space="preserve"> +</w:t>
            </w: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 xml:space="preserve"> + Snow + Rain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542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>*Snow</w:t>
            </w:r>
            <w:r>
              <w:rPr>
                <w:rFonts w:ascii="Times New Roman" w:hAnsi="Times New Roman" w:cs="Times New Roman"/>
                <w:szCs w:val="24"/>
              </w:rPr>
              <w:t xml:space="preserve"> + </w:t>
            </w: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F01E2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+ Snow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781CB0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542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*Snow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551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*Snow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F01E2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9525EA" w:rsidRPr="00D75C65" w:rsidTr="000477C1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+ Snow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550</w:t>
            </w:r>
          </w:p>
        </w:tc>
      </w:tr>
    </w:tbl>
    <w:p w:rsidR="009525EA" w:rsidRDefault="009525EA" w:rsidP="009525EA"/>
    <w:p w:rsidR="009525EA" w:rsidRPr="00C95552" w:rsidRDefault="009525EA" w:rsidP="009525EA">
      <w:pPr>
        <w:rPr>
          <w:rFonts w:ascii="Times New Roman" w:hAnsi="Times New Roman" w:cs="Times New Roman"/>
          <w:b/>
          <w:sz w:val="24"/>
        </w:rPr>
      </w:pPr>
      <w:r w:rsidRPr="00C95552">
        <w:rPr>
          <w:rFonts w:ascii="Times New Roman" w:hAnsi="Times New Roman" w:cs="Times New Roman"/>
          <w:b/>
          <w:sz w:val="24"/>
        </w:rPr>
        <w:t>Table B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540"/>
        <w:gridCol w:w="1170"/>
      </w:tblGrid>
      <w:tr w:rsidR="009525EA" w:rsidRPr="00D75C65" w:rsidTr="000477C1">
        <w:tc>
          <w:tcPr>
            <w:tcW w:w="3330" w:type="dxa"/>
            <w:tcBorders>
              <w:top w:val="single" w:sz="12" w:space="0" w:color="auto"/>
              <w:left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Model Name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K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Lower limit</w:t>
            </w:r>
          </w:p>
        </w:tc>
      </w:tr>
      <w:tr w:rsidR="009525EA" w:rsidRPr="00D75C65" w:rsidTr="000477C1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 xml:space="preserve">*Snow + Rain + </w:t>
            </w: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MoistDef</w:t>
            </w:r>
            <w:proofErr w:type="spellEnd"/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429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115C74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C74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115C74">
              <w:rPr>
                <w:rFonts w:ascii="Times New Roman" w:hAnsi="Times New Roman" w:cs="Times New Roman"/>
                <w:szCs w:val="24"/>
              </w:rPr>
              <w:t>*Rain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C74">
              <w:rPr>
                <w:rFonts w:ascii="Times New Roman" w:hAnsi="Times New Roman" w:cs="Times New Roman"/>
                <w:szCs w:val="24"/>
              </w:rPr>
              <w:t>+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C74">
              <w:rPr>
                <w:rFonts w:ascii="Times New Roman" w:hAnsi="Times New Roman" w:cs="Times New Roman"/>
                <w:szCs w:val="24"/>
              </w:rPr>
              <w:t>Snow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15C74">
              <w:rPr>
                <w:rFonts w:ascii="Times New Roman" w:hAnsi="Times New Roman" w:cs="Times New Roman"/>
                <w:szCs w:val="24"/>
              </w:rPr>
              <w:t>+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C74">
              <w:rPr>
                <w:rFonts w:ascii="Times New Roman" w:hAnsi="Times New Roman" w:cs="Times New Roman"/>
                <w:szCs w:val="24"/>
              </w:rPr>
              <w:t>MoistDef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6950F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429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98703F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703F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 w:rsidRPr="0098703F">
              <w:rPr>
                <w:rFonts w:ascii="Times New Roman" w:hAnsi="Times New Roman" w:cs="Times New Roman"/>
                <w:szCs w:val="24"/>
              </w:rPr>
              <w:t xml:space="preserve">* Rain </w:t>
            </w:r>
            <w:r>
              <w:rPr>
                <w:rFonts w:ascii="Times New Roman" w:hAnsi="Times New Roman" w:cs="Times New Roman"/>
                <w:szCs w:val="24"/>
              </w:rPr>
              <w:t xml:space="preserve"> + </w:t>
            </w:r>
            <w:r w:rsidRPr="0098703F">
              <w:rPr>
                <w:rFonts w:ascii="Times New Roman" w:hAnsi="Times New Roman" w:cs="Times New Roman"/>
                <w:szCs w:val="24"/>
              </w:rPr>
              <w:t>Snow +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70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6950F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431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98703F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703F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98703F">
              <w:rPr>
                <w:rFonts w:ascii="Times New Roman" w:hAnsi="Times New Roman" w:cs="Times New Roman"/>
                <w:szCs w:val="24"/>
              </w:rPr>
              <w:t xml:space="preserve">* Rain </w:t>
            </w:r>
            <w:r>
              <w:rPr>
                <w:rFonts w:ascii="Times New Roman" w:hAnsi="Times New Roman" w:cs="Times New Roman"/>
                <w:szCs w:val="24"/>
              </w:rPr>
              <w:t xml:space="preserve">+ </w:t>
            </w:r>
            <w:r w:rsidRPr="0098703F">
              <w:rPr>
                <w:rFonts w:ascii="Times New Roman" w:hAnsi="Times New Roman" w:cs="Times New Roman"/>
                <w:szCs w:val="24"/>
              </w:rPr>
              <w:t xml:space="preserve">Snow + </w:t>
            </w:r>
            <w:proofErr w:type="spellStart"/>
            <w:r w:rsidRPr="0098703F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430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 xml:space="preserve"> +</w:t>
            </w: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 xml:space="preserve"> + Snow + Rain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432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 xml:space="preserve">*Rain +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MoistDef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C95552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95552">
              <w:rPr>
                <w:rFonts w:ascii="Times New Roman" w:hAnsi="Times New Roman" w:cs="Times New Roman"/>
                <w:szCs w:val="24"/>
              </w:rPr>
              <w:t>428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 w:rsidRPr="00A903EB">
              <w:rPr>
                <w:rFonts w:ascii="Times New Roman" w:hAnsi="Times New Roman" w:cs="Times New Roman"/>
                <w:szCs w:val="24"/>
              </w:rPr>
              <w:t>*Snow</w:t>
            </w:r>
            <w:r>
              <w:rPr>
                <w:rFonts w:ascii="Times New Roman" w:hAnsi="Times New Roman" w:cs="Times New Roman"/>
                <w:szCs w:val="24"/>
              </w:rPr>
              <w:t xml:space="preserve"> + </w:t>
            </w:r>
            <w:proofErr w:type="spellStart"/>
            <w:r w:rsidRPr="00A903EB"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428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+ Snow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A903EB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430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*Rain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C95552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95552">
              <w:rPr>
                <w:rFonts w:ascii="Times New Roman" w:hAnsi="Times New Roman" w:cs="Times New Roman"/>
                <w:b/>
                <w:szCs w:val="24"/>
              </w:rPr>
              <w:t>426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*Rain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525EA" w:rsidRPr="00C95552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C95552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9525EA" w:rsidRPr="00D75C65" w:rsidTr="000477C1"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Tmin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+ Rain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25EA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25EA" w:rsidRPr="00302D33" w:rsidRDefault="009525EA" w:rsidP="000477C1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428</w:t>
            </w:r>
          </w:p>
        </w:tc>
      </w:tr>
    </w:tbl>
    <w:p w:rsidR="009525EA" w:rsidRDefault="009525EA" w:rsidP="009525EA"/>
    <w:p w:rsidR="007A72F3" w:rsidRDefault="007A72F3" w:rsidP="007A72F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C65">
        <w:rPr>
          <w:rFonts w:ascii="Times New Roman" w:hAnsi="Times New Roman" w:cs="Times New Roman"/>
          <w:sz w:val="24"/>
          <w:szCs w:val="24"/>
        </w:rPr>
        <w:t xml:space="preserve">Linear models examining the pattern of distribution shift of 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D75C65">
        <w:rPr>
          <w:rFonts w:ascii="Times New Roman" w:hAnsi="Times New Roman" w:cs="Times New Roman"/>
          <w:sz w:val="24"/>
          <w:szCs w:val="24"/>
        </w:rPr>
        <w:t xml:space="preserve"> plant species</w:t>
      </w:r>
      <w:r>
        <w:rPr>
          <w:rFonts w:ascii="Times New Roman" w:hAnsi="Times New Roman" w:cs="Times New Roman"/>
          <w:sz w:val="24"/>
          <w:szCs w:val="24"/>
        </w:rPr>
        <w:t>-region combinations</w:t>
      </w:r>
      <w:r w:rsidRPr="00D75C65">
        <w:rPr>
          <w:rFonts w:ascii="Times New Roman" w:hAnsi="Times New Roman" w:cs="Times New Roman"/>
          <w:sz w:val="24"/>
          <w:szCs w:val="24"/>
        </w:rPr>
        <w:t xml:space="preserve"> between 1970 and 2009</w:t>
      </w:r>
      <w:r>
        <w:rPr>
          <w:rFonts w:ascii="Times New Roman" w:hAnsi="Times New Roman" w:cs="Times New Roman"/>
          <w:sz w:val="24"/>
          <w:szCs w:val="24"/>
        </w:rPr>
        <w:t xml:space="preserve"> (climate data missing from 12 species-region combinations)</w:t>
      </w:r>
      <w:r w:rsidR="009525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525EA">
        <w:rPr>
          <w:rFonts w:ascii="Times New Roman" w:hAnsi="Times New Roman" w:cs="Times New Roman"/>
          <w:sz w:val="24"/>
          <w:szCs w:val="24"/>
        </w:rPr>
        <w:t>at A) upper distribution limits and B) lower distribution limits</w:t>
      </w:r>
      <w:bookmarkEnd w:id="0"/>
      <w:r w:rsidRPr="00D75C65">
        <w:rPr>
          <w:rFonts w:ascii="Times New Roman" w:hAnsi="Times New Roman" w:cs="Times New Roman"/>
          <w:sz w:val="24"/>
          <w:szCs w:val="24"/>
        </w:rPr>
        <w:t xml:space="preserve">. The best model, based on the simplest model with the lowest AIC value is in bold for the entire study area (AIC, ΔAIC, </w:t>
      </w:r>
      <w:r>
        <w:rPr>
          <w:rFonts w:ascii="Times New Roman" w:hAnsi="Times New Roman" w:cs="Times New Roman"/>
          <w:sz w:val="24"/>
          <w:szCs w:val="24"/>
        </w:rPr>
        <w:t>430 species) and the low and high elevation limits</w:t>
      </w:r>
      <w:r w:rsidRPr="00D75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C6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distribution limits,</w:t>
      </w:r>
      <w:r w:rsidRPr="00D75C65">
        <w:rPr>
          <w:rFonts w:ascii="Times New Roman" w:hAnsi="Times New Roman" w:cs="Times New Roman"/>
          <w:sz w:val="24"/>
          <w:szCs w:val="24"/>
        </w:rPr>
        <w:t xml:space="preserve"> we show the </w:t>
      </w:r>
      <w:r w:rsidRPr="00D75C65">
        <w:rPr>
          <w:rFonts w:ascii="Times New Roman" w:hAnsi="Times New Roman" w:cs="Times New Roman"/>
          <w:sz w:val="24"/>
          <w:szCs w:val="24"/>
        </w:rPr>
        <w:lastRenderedPageBreak/>
        <w:t xml:space="preserve">AIC value for the model with the lowest AIC value and the change in AIC for all other models. Explanatory variables considered </w:t>
      </w:r>
      <w:proofErr w:type="gramStart"/>
      <w:r w:rsidRPr="00D75C65"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 w:rsidRPr="00D75C65">
        <w:rPr>
          <w:rFonts w:ascii="Times New Roman" w:hAnsi="Times New Roman" w:cs="Times New Roman"/>
          <w:sz w:val="24"/>
          <w:szCs w:val="24"/>
        </w:rPr>
        <w:t xml:space="preserve"> rate of change in mean </w:t>
      </w:r>
      <w:r>
        <w:rPr>
          <w:rFonts w:ascii="Times New Roman" w:hAnsi="Times New Roman" w:cs="Times New Roman"/>
          <w:sz w:val="24"/>
          <w:szCs w:val="24"/>
        </w:rPr>
        <w:t>maximum</w:t>
      </w:r>
      <w:r w:rsidRPr="00D75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minimum </w:t>
      </w:r>
      <w:r w:rsidRPr="00D75C65">
        <w:rPr>
          <w:rFonts w:ascii="Times New Roman" w:hAnsi="Times New Roman" w:cs="Times New Roman"/>
          <w:sz w:val="24"/>
          <w:szCs w:val="24"/>
        </w:rPr>
        <w:t>temperature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5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 summer (</w:t>
      </w:r>
      <w:proofErr w:type="spellStart"/>
      <w:r w:rsidRPr="00D75C65">
        <w:rPr>
          <w:rFonts w:ascii="Times New Roman" w:hAnsi="Times New Roman" w:cs="Times New Roman"/>
          <w:sz w:val="24"/>
          <w:szCs w:val="24"/>
        </w:rPr>
        <w:t>Tmax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Tmin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Pr="00D75C65">
        <w:rPr>
          <w:rFonts w:ascii="Times New Roman" w:hAnsi="Times New Roman" w:cs="Times New Roman"/>
          <w:sz w:val="24"/>
          <w:szCs w:val="24"/>
        </w:rPr>
        <w:t xml:space="preserve"> rate of change in total precipitation falling as rain</w:t>
      </w:r>
      <w:r>
        <w:rPr>
          <w:rFonts w:ascii="Times New Roman" w:hAnsi="Times New Roman" w:cs="Times New Roman"/>
          <w:sz w:val="24"/>
          <w:szCs w:val="24"/>
        </w:rPr>
        <w:t xml:space="preserve"> during the summer (Rain) and snow during the winter (Snow), and </w:t>
      </w:r>
      <w:r w:rsidRPr="00D75C65">
        <w:rPr>
          <w:rFonts w:ascii="Times New Roman" w:hAnsi="Times New Roman" w:cs="Times New Roman"/>
          <w:sz w:val="24"/>
          <w:szCs w:val="24"/>
        </w:rPr>
        <w:t xml:space="preserve">mean annual Hargreaves moisture deficit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MoistDef</w:t>
      </w:r>
      <w:proofErr w:type="spellEnd"/>
      <w:r w:rsidRPr="00D75C6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Winter warming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was not included in the multivariate models as winter warming was a poor predictor of the direction of distribution shifts in univariate models. Maximum winter temperatures warmed for 99% (426/430; climate data missing for 12 species) and minimum winter temperatures warmed for 100% of species (430/430). </w:t>
      </w:r>
      <w:r w:rsidRPr="00D75C65">
        <w:rPr>
          <w:rFonts w:ascii="Times New Roman" w:hAnsi="Times New Roman" w:cs="Times New Roman"/>
          <w:sz w:val="24"/>
          <w:szCs w:val="24"/>
        </w:rPr>
        <w:t xml:space="preserve">All models included </w:t>
      </w:r>
      <w:r>
        <w:rPr>
          <w:rFonts w:ascii="Times New Roman" w:hAnsi="Times New Roman" w:cs="Times New Roman"/>
          <w:sz w:val="24"/>
          <w:szCs w:val="24"/>
        </w:rPr>
        <w:t>region as a random effect</w:t>
      </w:r>
      <w:r w:rsidRPr="00D75C65">
        <w:rPr>
          <w:rFonts w:ascii="Times New Roman" w:hAnsi="Times New Roman" w:cs="Times New Roman"/>
          <w:sz w:val="24"/>
          <w:szCs w:val="24"/>
        </w:rPr>
        <w:t xml:space="preserve">. Explanatory variables </w:t>
      </w:r>
      <w:proofErr w:type="gramStart"/>
      <w:r w:rsidRPr="00D75C65">
        <w:rPr>
          <w:rFonts w:ascii="Times New Roman" w:hAnsi="Times New Roman" w:cs="Times New Roman"/>
          <w:sz w:val="24"/>
          <w:szCs w:val="24"/>
        </w:rPr>
        <w:t>were modeled</w:t>
      </w:r>
      <w:proofErr w:type="gramEnd"/>
      <w:r w:rsidRPr="00D75C65">
        <w:rPr>
          <w:rFonts w:ascii="Times New Roman" w:hAnsi="Times New Roman" w:cs="Times New Roman"/>
          <w:sz w:val="24"/>
          <w:szCs w:val="24"/>
        </w:rPr>
        <w:t xml:space="preserve"> as fixed effects. </w:t>
      </w:r>
    </w:p>
    <w:p w:rsidR="00AA72ED" w:rsidRDefault="00AA72ED"/>
    <w:sectPr w:rsidR="00AA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3"/>
    <w:rsid w:val="00020C63"/>
    <w:rsid w:val="0008124E"/>
    <w:rsid w:val="000A2E7F"/>
    <w:rsid w:val="001D55C0"/>
    <w:rsid w:val="003F132A"/>
    <w:rsid w:val="006662C8"/>
    <w:rsid w:val="006E7818"/>
    <w:rsid w:val="007A72F3"/>
    <w:rsid w:val="00937A6E"/>
    <w:rsid w:val="009525EA"/>
    <w:rsid w:val="00AA72ED"/>
    <w:rsid w:val="00C22448"/>
    <w:rsid w:val="00C91D0E"/>
    <w:rsid w:val="00CD67C1"/>
    <w:rsid w:val="00E403CA"/>
    <w:rsid w:val="00F324FC"/>
    <w:rsid w:val="00FC25A5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288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F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2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F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2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2015-05-24T03:59:00Z</dcterms:created>
  <dcterms:modified xsi:type="dcterms:W3CDTF">2015-05-27T20:41:00Z</dcterms:modified>
</cp:coreProperties>
</file>