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9E" w:rsidRDefault="00995B9E" w:rsidP="00995B9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386CFD22" wp14:editId="4837D319">
            <wp:extent cx="3089275" cy="7191375"/>
            <wp:effectExtent l="0" t="0" r="9525" b="0"/>
            <wp:docPr id="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9E" w:rsidRPr="00921C43" w:rsidRDefault="00995B9E" w:rsidP="00995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Fig 2A</w:t>
      </w:r>
    </w:p>
    <w:p w:rsidR="00995B9E" w:rsidRPr="006E12F5" w:rsidRDefault="00995B9E" w:rsidP="00995B9E">
      <w:pPr>
        <w:jc w:val="center"/>
        <w:rPr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0AA4671" wp14:editId="3F5D2728">
            <wp:extent cx="3039745" cy="7191375"/>
            <wp:effectExtent l="0" t="0" r="8255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9E" w:rsidRDefault="00995B9E" w:rsidP="00995B9E">
      <w:pPr>
        <w:ind w:left="980" w:hanging="980"/>
        <w:jc w:val="center"/>
        <w:rPr>
          <w:sz w:val="20"/>
          <w:szCs w:val="20"/>
        </w:rPr>
      </w:pPr>
      <w:r>
        <w:rPr>
          <w:sz w:val="20"/>
          <w:szCs w:val="20"/>
        </w:rPr>
        <w:t>Fig. 2B</w:t>
      </w:r>
    </w:p>
    <w:p w:rsidR="00995B9E" w:rsidRPr="0094061D" w:rsidRDefault="00995B9E" w:rsidP="00995B9E">
      <w:pPr>
        <w:spacing w:line="480" w:lineRule="auto"/>
        <w:jc w:val="both"/>
        <w:rPr>
          <w:b/>
          <w:sz w:val="22"/>
          <w:szCs w:val="22"/>
        </w:rPr>
      </w:pPr>
    </w:p>
    <w:p w:rsidR="00995B9E" w:rsidRPr="0094061D" w:rsidRDefault="00995B9E" w:rsidP="00995B9E">
      <w:pPr>
        <w:spacing w:line="480" w:lineRule="auto"/>
        <w:jc w:val="both"/>
        <w:rPr>
          <w:b/>
          <w:sz w:val="22"/>
          <w:szCs w:val="22"/>
        </w:rPr>
      </w:pPr>
    </w:p>
    <w:p w:rsidR="00995B9E" w:rsidRPr="0094061D" w:rsidRDefault="00995B9E" w:rsidP="00995B9E">
      <w:pPr>
        <w:spacing w:line="480" w:lineRule="auto"/>
        <w:jc w:val="both"/>
        <w:rPr>
          <w:b/>
          <w:sz w:val="22"/>
          <w:szCs w:val="22"/>
        </w:rPr>
      </w:pPr>
    </w:p>
    <w:p w:rsidR="00995B9E" w:rsidRPr="0094061D" w:rsidRDefault="00995B9E" w:rsidP="00995B9E">
      <w:pPr>
        <w:spacing w:line="480" w:lineRule="auto"/>
        <w:jc w:val="center"/>
        <w:rPr>
          <w:b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3B3F5A8" wp14:editId="59E41CD9">
            <wp:extent cx="5387340" cy="5535930"/>
            <wp:effectExtent l="0" t="0" r="0" b="127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9E" w:rsidRPr="0094061D" w:rsidRDefault="00995B9E" w:rsidP="00995B9E">
      <w:pPr>
        <w:ind w:left="980" w:hanging="980"/>
        <w:jc w:val="center"/>
        <w:rPr>
          <w:sz w:val="14"/>
          <w:szCs w:val="14"/>
        </w:rPr>
      </w:pPr>
      <w:r>
        <w:rPr>
          <w:sz w:val="20"/>
          <w:szCs w:val="20"/>
        </w:rPr>
        <w:t>Fig. 2</w:t>
      </w:r>
      <w:r w:rsidRPr="00E0133F">
        <w:rPr>
          <w:sz w:val="20"/>
          <w:szCs w:val="20"/>
        </w:rPr>
        <w:t>.</w:t>
      </w:r>
      <w:r>
        <w:rPr>
          <w:sz w:val="20"/>
          <w:szCs w:val="20"/>
        </w:rPr>
        <w:t>C</w:t>
      </w:r>
    </w:p>
    <w:p w:rsidR="00995B9E" w:rsidRPr="00147D48" w:rsidRDefault="00995B9E" w:rsidP="00995B9E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F33A38D" wp14:editId="1B160F39">
            <wp:extent cx="3830320" cy="7068185"/>
            <wp:effectExtent l="0" t="0" r="5080" b="0"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70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9E" w:rsidRPr="00D67E50" w:rsidRDefault="00995B9E" w:rsidP="00995B9E">
      <w:pPr>
        <w:ind w:left="980" w:hanging="980"/>
        <w:jc w:val="center"/>
        <w:rPr>
          <w:sz w:val="20"/>
          <w:szCs w:val="20"/>
          <w:lang w:val="en-US"/>
        </w:rPr>
      </w:pPr>
      <w:r w:rsidRPr="00D67E50">
        <w:rPr>
          <w:sz w:val="20"/>
          <w:szCs w:val="20"/>
          <w:lang w:val="en-US"/>
        </w:rPr>
        <w:t>Fig. 2D</w:t>
      </w:r>
    </w:p>
    <w:p w:rsidR="00995B9E" w:rsidRPr="00D67E50" w:rsidRDefault="00995B9E" w:rsidP="00995B9E">
      <w:pPr>
        <w:jc w:val="both"/>
        <w:rPr>
          <w:sz w:val="20"/>
          <w:szCs w:val="20"/>
          <w:lang w:val="en-US"/>
        </w:rPr>
      </w:pPr>
    </w:p>
    <w:p w:rsidR="00995B9E" w:rsidRPr="00D67E50" w:rsidRDefault="00995B9E" w:rsidP="00995B9E">
      <w:pPr>
        <w:ind w:left="1036" w:hanging="1036"/>
        <w:jc w:val="both"/>
        <w:rPr>
          <w:sz w:val="20"/>
          <w:szCs w:val="20"/>
          <w:lang w:val="en-US"/>
        </w:rPr>
      </w:pPr>
      <w:r w:rsidRPr="00D67E50">
        <w:rPr>
          <w:sz w:val="20"/>
          <w:szCs w:val="20"/>
          <w:lang w:val="en-US"/>
        </w:rPr>
        <w:t xml:space="preserve">SM Figure </w:t>
      </w:r>
      <w:r>
        <w:rPr>
          <w:sz w:val="20"/>
          <w:szCs w:val="20"/>
          <w:lang w:val="en-US"/>
        </w:rPr>
        <w:t>2</w:t>
      </w:r>
      <w:r w:rsidRPr="00F0320E">
        <w:rPr>
          <w:sz w:val="20"/>
          <w:szCs w:val="20"/>
          <w:lang w:val="en-US"/>
        </w:rPr>
        <w:t xml:space="preserve"> – Phylogenetic tree built by </w:t>
      </w:r>
      <w:r w:rsidRPr="0057727B">
        <w:rPr>
          <w:i/>
          <w:sz w:val="20"/>
          <w:szCs w:val="20"/>
          <w:lang w:val="en-US"/>
        </w:rPr>
        <w:t xml:space="preserve">Neighbor-joining </w:t>
      </w:r>
      <w:r w:rsidRPr="0057727B">
        <w:rPr>
          <w:sz w:val="20"/>
          <w:szCs w:val="20"/>
          <w:lang w:val="en-US"/>
        </w:rPr>
        <w:t xml:space="preserve">method using Jukes and Cantor model for ITS1-5,8S-ITS2 sequence isolated from sugarcane root and rhizosphere. Reference sequences of GenBank were used and the sequences obtained in the present work were signaled with the following symbol </w:t>
      </w:r>
      <w:r w:rsidRPr="0057727B">
        <w:rPr>
          <w:b/>
          <w:sz w:val="20"/>
          <w:szCs w:val="20"/>
          <w:lang w:val="en-US"/>
        </w:rPr>
        <w:t>♦</w:t>
      </w:r>
      <w:r w:rsidRPr="0057727B">
        <w:rPr>
          <w:sz w:val="20"/>
          <w:szCs w:val="20"/>
          <w:lang w:val="en-US"/>
        </w:rPr>
        <w:t xml:space="preserve">. </w:t>
      </w:r>
      <w:r w:rsidRPr="0057727B">
        <w:rPr>
          <w:i/>
          <w:sz w:val="20"/>
          <w:szCs w:val="20"/>
          <w:lang w:val="en-US"/>
        </w:rPr>
        <w:t>Bootstrap</w:t>
      </w:r>
      <w:r w:rsidRPr="0057727B">
        <w:rPr>
          <w:sz w:val="20"/>
          <w:szCs w:val="20"/>
          <w:lang w:val="en-US"/>
        </w:rPr>
        <w:t xml:space="preserve"> values (n=1000) lower than 50 are represented in nods</w:t>
      </w:r>
      <w:r w:rsidRPr="00D67E50">
        <w:rPr>
          <w:sz w:val="20"/>
          <w:szCs w:val="20"/>
          <w:lang w:val="en-US"/>
        </w:rPr>
        <w:t>.</w:t>
      </w:r>
    </w:p>
    <w:p w:rsidR="00995B9E" w:rsidRPr="00D67E50" w:rsidRDefault="00995B9E" w:rsidP="00995B9E">
      <w:pPr>
        <w:ind w:left="1036" w:hanging="1036"/>
        <w:jc w:val="both"/>
        <w:rPr>
          <w:sz w:val="20"/>
          <w:szCs w:val="20"/>
          <w:lang w:val="en-US"/>
        </w:rPr>
      </w:pPr>
      <w:r w:rsidRPr="00D67E50">
        <w:rPr>
          <w:b/>
          <w:sz w:val="20"/>
          <w:szCs w:val="20"/>
          <w:lang w:val="en-US"/>
        </w:rPr>
        <w:t>a)</w:t>
      </w:r>
      <w:r w:rsidRPr="00D67E50">
        <w:rPr>
          <w:sz w:val="20"/>
          <w:szCs w:val="20"/>
          <w:lang w:val="en-US"/>
        </w:rPr>
        <w:t xml:space="preserve"> 70 fungi of </w:t>
      </w:r>
      <w:r w:rsidRPr="00D67E50">
        <w:rPr>
          <w:i/>
          <w:sz w:val="20"/>
          <w:szCs w:val="20"/>
          <w:lang w:val="en-US"/>
        </w:rPr>
        <w:t xml:space="preserve">Penicillium </w:t>
      </w:r>
      <w:r w:rsidRPr="00D67E50">
        <w:rPr>
          <w:sz w:val="20"/>
          <w:szCs w:val="20"/>
          <w:lang w:val="en-US"/>
        </w:rPr>
        <w:t xml:space="preserve">genera, </w:t>
      </w:r>
      <w:r>
        <w:rPr>
          <w:sz w:val="20"/>
          <w:szCs w:val="20"/>
          <w:lang w:val="en-US"/>
        </w:rPr>
        <w:t>using the ascomyco</w:t>
      </w:r>
      <w:r w:rsidRPr="00D67E50">
        <w:rPr>
          <w:sz w:val="20"/>
          <w:szCs w:val="20"/>
          <w:lang w:val="en-US"/>
        </w:rPr>
        <w:t xml:space="preserve">ta </w:t>
      </w:r>
      <w:r w:rsidRPr="00D67E50">
        <w:rPr>
          <w:i/>
          <w:sz w:val="20"/>
          <w:szCs w:val="20"/>
          <w:lang w:val="en-US"/>
        </w:rPr>
        <w:t>Buergenerula spartinae</w:t>
      </w:r>
      <w:r w:rsidRPr="00D67E50">
        <w:rPr>
          <w:sz w:val="20"/>
          <w:szCs w:val="20"/>
          <w:lang w:val="en-US"/>
        </w:rPr>
        <w:t xml:space="preserve"> as outgroup;</w:t>
      </w:r>
    </w:p>
    <w:p w:rsidR="00995B9E" w:rsidRPr="00D67E50" w:rsidRDefault="00995B9E" w:rsidP="00995B9E">
      <w:pPr>
        <w:ind w:left="980" w:hanging="980"/>
        <w:jc w:val="both"/>
        <w:rPr>
          <w:sz w:val="20"/>
          <w:szCs w:val="20"/>
          <w:lang w:val="en-US"/>
        </w:rPr>
      </w:pPr>
      <w:r w:rsidRPr="00D67E50">
        <w:rPr>
          <w:b/>
          <w:sz w:val="20"/>
          <w:szCs w:val="20"/>
          <w:lang w:val="en-US"/>
        </w:rPr>
        <w:lastRenderedPageBreak/>
        <w:t>b)</w:t>
      </w:r>
      <w:r w:rsidRPr="00D67E50">
        <w:rPr>
          <w:sz w:val="20"/>
          <w:szCs w:val="20"/>
          <w:lang w:val="en-US"/>
        </w:rPr>
        <w:t xml:space="preserve"> 39 fungi of </w:t>
      </w:r>
      <w:r w:rsidRPr="00D67E50">
        <w:rPr>
          <w:i/>
          <w:sz w:val="20"/>
          <w:szCs w:val="20"/>
          <w:lang w:val="en-US"/>
        </w:rPr>
        <w:t xml:space="preserve">Fusarium </w:t>
      </w:r>
      <w:r w:rsidRPr="00D67E50">
        <w:rPr>
          <w:sz w:val="20"/>
          <w:szCs w:val="20"/>
          <w:lang w:val="en-US"/>
        </w:rPr>
        <w:t xml:space="preserve">genera, </w:t>
      </w:r>
      <w:r>
        <w:rPr>
          <w:sz w:val="20"/>
          <w:szCs w:val="20"/>
          <w:lang w:val="en-US"/>
        </w:rPr>
        <w:t>using the ascomycot</w:t>
      </w:r>
      <w:r w:rsidRPr="00D67E50">
        <w:rPr>
          <w:sz w:val="20"/>
          <w:szCs w:val="20"/>
          <w:lang w:val="en-US"/>
        </w:rPr>
        <w:t xml:space="preserve">a </w:t>
      </w:r>
      <w:r w:rsidRPr="00D67E50">
        <w:rPr>
          <w:i/>
          <w:sz w:val="20"/>
          <w:szCs w:val="20"/>
          <w:lang w:val="en-US"/>
        </w:rPr>
        <w:t>Bionectria ochroleuca</w:t>
      </w:r>
      <w:r w:rsidRPr="00D67E50">
        <w:rPr>
          <w:sz w:val="20"/>
          <w:szCs w:val="20"/>
          <w:lang w:val="en-US"/>
        </w:rPr>
        <w:t xml:space="preserve"> as outgroup.</w:t>
      </w:r>
    </w:p>
    <w:p w:rsidR="00995B9E" w:rsidRPr="00D67E50" w:rsidRDefault="00995B9E" w:rsidP="00995B9E">
      <w:pPr>
        <w:ind w:left="980" w:hanging="980"/>
        <w:jc w:val="both"/>
        <w:rPr>
          <w:sz w:val="20"/>
          <w:szCs w:val="20"/>
          <w:lang w:val="en-US"/>
        </w:rPr>
      </w:pPr>
      <w:r w:rsidRPr="00D67E50">
        <w:rPr>
          <w:b/>
          <w:sz w:val="20"/>
          <w:szCs w:val="20"/>
          <w:lang w:val="en-US"/>
        </w:rPr>
        <w:t xml:space="preserve">c) </w:t>
      </w:r>
      <w:r w:rsidRPr="00D67E50">
        <w:rPr>
          <w:sz w:val="20"/>
          <w:szCs w:val="20"/>
          <w:lang w:val="en-US"/>
        </w:rPr>
        <w:t xml:space="preserve">17 fungi of </w:t>
      </w:r>
      <w:r w:rsidRPr="00D67E50">
        <w:rPr>
          <w:i/>
          <w:sz w:val="20"/>
          <w:szCs w:val="20"/>
          <w:lang w:val="en-US"/>
        </w:rPr>
        <w:t xml:space="preserve">Aspergillus </w:t>
      </w:r>
      <w:r w:rsidRPr="00D67E50">
        <w:rPr>
          <w:sz w:val="20"/>
          <w:szCs w:val="20"/>
          <w:lang w:val="en-US"/>
        </w:rPr>
        <w:t xml:space="preserve">genera, </w:t>
      </w:r>
      <w:r>
        <w:rPr>
          <w:sz w:val="20"/>
          <w:szCs w:val="20"/>
          <w:lang w:val="en-US"/>
        </w:rPr>
        <w:t>using the ascomyco</w:t>
      </w:r>
      <w:r w:rsidRPr="00D67E50">
        <w:rPr>
          <w:sz w:val="20"/>
          <w:szCs w:val="20"/>
          <w:lang w:val="en-US"/>
        </w:rPr>
        <w:t xml:space="preserve">ta </w:t>
      </w:r>
      <w:r w:rsidRPr="00D67E50">
        <w:rPr>
          <w:i/>
          <w:sz w:val="20"/>
          <w:szCs w:val="20"/>
          <w:lang w:val="en-US"/>
        </w:rPr>
        <w:t>Penicillium pinophilum</w:t>
      </w:r>
      <w:r w:rsidRPr="00D67E50">
        <w:rPr>
          <w:sz w:val="20"/>
          <w:szCs w:val="20"/>
          <w:lang w:val="en-US"/>
        </w:rPr>
        <w:t xml:space="preserve"> as outgroup;</w:t>
      </w:r>
    </w:p>
    <w:p w:rsidR="00995B9E" w:rsidRPr="00D67E50" w:rsidRDefault="00995B9E" w:rsidP="00995B9E">
      <w:pPr>
        <w:ind w:left="980" w:hanging="980"/>
        <w:jc w:val="both"/>
        <w:rPr>
          <w:sz w:val="20"/>
          <w:szCs w:val="20"/>
          <w:lang w:val="en-US"/>
        </w:rPr>
      </w:pPr>
      <w:r w:rsidRPr="00D67E50">
        <w:rPr>
          <w:b/>
          <w:sz w:val="20"/>
          <w:szCs w:val="20"/>
          <w:lang w:val="en-US"/>
        </w:rPr>
        <w:t xml:space="preserve">d) </w:t>
      </w:r>
      <w:r w:rsidRPr="00D67E50">
        <w:rPr>
          <w:sz w:val="20"/>
          <w:szCs w:val="20"/>
          <w:lang w:val="en-US"/>
        </w:rPr>
        <w:t xml:space="preserve">11 fungi of </w:t>
      </w:r>
      <w:r w:rsidRPr="00D67E50">
        <w:rPr>
          <w:i/>
          <w:sz w:val="20"/>
          <w:szCs w:val="20"/>
          <w:lang w:val="en-US"/>
        </w:rPr>
        <w:t xml:space="preserve">Trichoderma </w:t>
      </w:r>
      <w:r w:rsidRPr="00D67E50">
        <w:rPr>
          <w:sz w:val="20"/>
          <w:szCs w:val="20"/>
          <w:lang w:val="en-US"/>
        </w:rPr>
        <w:t xml:space="preserve">genera, </w:t>
      </w:r>
      <w:r>
        <w:rPr>
          <w:sz w:val="20"/>
          <w:szCs w:val="20"/>
          <w:lang w:val="en-US"/>
        </w:rPr>
        <w:t>using the ascomyco</w:t>
      </w:r>
      <w:r w:rsidRPr="00D67E50">
        <w:rPr>
          <w:sz w:val="20"/>
          <w:szCs w:val="20"/>
          <w:lang w:val="en-US"/>
        </w:rPr>
        <w:t xml:space="preserve">ta </w:t>
      </w:r>
      <w:r w:rsidRPr="00D67E50">
        <w:rPr>
          <w:i/>
          <w:sz w:val="20"/>
          <w:szCs w:val="20"/>
          <w:lang w:val="en-US"/>
        </w:rPr>
        <w:t>Hypomyces aurantius</w:t>
      </w:r>
      <w:r w:rsidRPr="00D67E50">
        <w:rPr>
          <w:sz w:val="20"/>
          <w:szCs w:val="20"/>
          <w:lang w:val="en-US"/>
        </w:rPr>
        <w:t xml:space="preserve"> as outgroup.</w:t>
      </w:r>
    </w:p>
    <w:p w:rsidR="008A544D" w:rsidRDefault="008A544D">
      <w:bookmarkStart w:id="0" w:name="_GoBack"/>
      <w:bookmarkEnd w:id="0"/>
    </w:p>
    <w:sectPr w:rsidR="008A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6"/>
    <w:rsid w:val="003755CD"/>
    <w:rsid w:val="007116A6"/>
    <w:rsid w:val="008A544D"/>
    <w:rsid w:val="00995B9E"/>
    <w:rsid w:val="009A1553"/>
    <w:rsid w:val="00C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3F0A"/>
  <w15:chartTrackingRefBased/>
  <w15:docId w15:val="{2FDA43FC-1B45-4812-9540-7DB6D9E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2016-07-05T13:47:00Z</dcterms:created>
  <dcterms:modified xsi:type="dcterms:W3CDTF">2016-07-05T13:47:00Z</dcterms:modified>
</cp:coreProperties>
</file>