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3" w:rsidRPr="005C1D6D" w:rsidRDefault="00F073A3" w:rsidP="00F073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C1D6D">
        <w:rPr>
          <w:rFonts w:asciiTheme="majorBidi" w:hAnsiTheme="majorBidi" w:cstheme="majorBidi"/>
          <w:b/>
          <w:bCs/>
          <w:sz w:val="24"/>
          <w:szCs w:val="24"/>
        </w:rPr>
        <w:t>Supplementary 1</w:t>
      </w:r>
      <w:r w:rsidR="005C1D6D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5C1D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1D6D" w:rsidRPr="009B232F">
        <w:rPr>
          <w:rFonts w:ascii="Times New Roman" w:hAnsi="Times New Roman" w:cs="Times New Roman"/>
          <w:b/>
        </w:rPr>
        <w:t xml:space="preserve"> </w:t>
      </w:r>
      <w:r w:rsidR="005C1D6D" w:rsidRPr="009B232F">
        <w:rPr>
          <w:rFonts w:ascii="Times New Roman" w:hAnsi="Times New Roman" w:cs="Times New Roman"/>
        </w:rPr>
        <w:t>Detailed statistical analysis performed in this study.</w:t>
      </w:r>
    </w:p>
    <w:p w:rsidR="00F073A3" w:rsidRDefault="00F073A3" w:rsidP="00F073A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:rsidR="005C1D6D" w:rsidRDefault="005C1D6D" w:rsidP="00F073A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:rsidR="005C1D6D" w:rsidRDefault="005C1D6D" w:rsidP="00F073A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</w:p>
    <w:p w:rsidR="005C1D6D" w:rsidRPr="009B232F" w:rsidRDefault="005C1D6D" w:rsidP="005C1D6D">
      <w:pPr>
        <w:spacing w:after="0" w:line="36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</w:t>
      </w:r>
      <w:r w:rsidRPr="005F3C3F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Pr="005F3C3F">
        <w:rPr>
          <w:rFonts w:ascii="Times New Roman" w:hAnsi="Times New Roman" w:cs="Times New Roman"/>
          <w:b/>
          <w:bCs/>
        </w:rPr>
        <w:t>.</w:t>
      </w:r>
      <w:proofErr w:type="gramEnd"/>
      <w:r w:rsidRPr="005F3C3F">
        <w:rPr>
          <w:rFonts w:ascii="Times New Roman" w:hAnsi="Times New Roman" w:cs="Times New Roman"/>
        </w:rPr>
        <w:t xml:space="preserve"> </w:t>
      </w:r>
      <w:proofErr w:type="gramStart"/>
      <w:r w:rsidRPr="005F3C3F">
        <w:rPr>
          <w:rFonts w:ascii="Times New Roman" w:hAnsi="Times New Roman" w:cs="Times New Roman"/>
        </w:rPr>
        <w:t>Comparisons of mean OD</w:t>
      </w:r>
      <w:r w:rsidRPr="005F3C3F">
        <w:rPr>
          <w:rFonts w:ascii="Times New Roman" w:hAnsi="Times New Roman" w:cs="Times New Roman"/>
          <w:vertAlign w:val="subscript"/>
        </w:rPr>
        <w:t>450</w:t>
      </w:r>
      <w:r w:rsidRPr="005F3C3F">
        <w:rPr>
          <w:rFonts w:ascii="Times New Roman" w:hAnsi="Times New Roman" w:cs="Times New Roman"/>
        </w:rPr>
        <w:t xml:space="preserve"> readings for chicken antibodies reactivity </w:t>
      </w:r>
      <w:r w:rsidRPr="005F3C3F">
        <w:rPr>
          <w:rFonts w:ascii="Times New Roman" w:hAnsi="Times New Roman" w:cs="Times New Roman"/>
          <w:iCs/>
        </w:rPr>
        <w:t>to the M2e peptides (antigen).</w:t>
      </w:r>
      <w:proofErr w:type="gramEnd"/>
      <w:r w:rsidRPr="005F3C3F">
        <w:rPr>
          <w:rFonts w:ascii="Times New Roman" w:hAnsi="Times New Roman" w:cs="Times New Roman"/>
          <w:iCs/>
        </w:rPr>
        <w:t xml:space="preserve"> Overall mean, significance value and R-squared value (R</w:t>
      </w:r>
      <w:r w:rsidRPr="005F3C3F">
        <w:rPr>
          <w:rFonts w:ascii="Times New Roman" w:hAnsi="Times New Roman" w:cs="Times New Roman"/>
          <w:iCs/>
          <w:vertAlign w:val="superscript"/>
        </w:rPr>
        <w:t>2</w:t>
      </w:r>
      <w:r w:rsidRPr="005F3C3F">
        <w:rPr>
          <w:rFonts w:ascii="Times New Roman" w:hAnsi="Times New Roman" w:cs="Times New Roman"/>
          <w:iCs/>
        </w:rPr>
        <w:t>) of antigen reactivity against different antibodies are listed horizontally (bottom row), while the values for antibody reactivity against different antigen are listed vertically (last 3 columns). Mean OD</w:t>
      </w:r>
      <w:r w:rsidRPr="005F3C3F">
        <w:rPr>
          <w:rFonts w:ascii="Times New Roman" w:hAnsi="Times New Roman" w:cs="Times New Roman"/>
          <w:iCs/>
          <w:vertAlign w:val="subscript"/>
        </w:rPr>
        <w:t>450</w:t>
      </w:r>
      <w:r w:rsidRPr="005F3C3F">
        <w:rPr>
          <w:rFonts w:ascii="Times New Roman" w:hAnsi="Times New Roman" w:cs="Times New Roman"/>
          <w:iCs/>
        </w:rPr>
        <w:t xml:space="preserve"> readings that do not share a letter are significantly different at p=0.05 according to Tukey Pairwise Comparisons.</w:t>
      </w:r>
      <w:r w:rsidRPr="009B232F">
        <w:rPr>
          <w:rFonts w:ascii="Times New Roman" w:hAnsi="Times New Roman" w:cs="Times New Roman"/>
          <w:iCs/>
        </w:rPr>
        <w:tab/>
      </w:r>
    </w:p>
    <w:tbl>
      <w:tblPr>
        <w:tblStyle w:val="TableGrid"/>
        <w:tblW w:w="15593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"/>
        <w:gridCol w:w="439"/>
        <w:gridCol w:w="553"/>
        <w:gridCol w:w="439"/>
        <w:gridCol w:w="553"/>
        <w:gridCol w:w="425"/>
        <w:gridCol w:w="567"/>
        <w:gridCol w:w="426"/>
        <w:gridCol w:w="567"/>
        <w:gridCol w:w="439"/>
        <w:gridCol w:w="553"/>
        <w:gridCol w:w="439"/>
        <w:gridCol w:w="553"/>
        <w:gridCol w:w="430"/>
        <w:gridCol w:w="562"/>
        <w:gridCol w:w="426"/>
        <w:gridCol w:w="567"/>
        <w:gridCol w:w="425"/>
        <w:gridCol w:w="567"/>
        <w:gridCol w:w="439"/>
        <w:gridCol w:w="553"/>
        <w:gridCol w:w="439"/>
        <w:gridCol w:w="553"/>
        <w:gridCol w:w="439"/>
        <w:gridCol w:w="625"/>
        <w:gridCol w:w="851"/>
        <w:gridCol w:w="850"/>
      </w:tblGrid>
      <w:tr w:rsidR="005C1D6D" w:rsidRPr="00257D89" w:rsidTr="00DA4C1F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</w:p>
        </w:tc>
        <w:tc>
          <w:tcPr>
            <w:tcW w:w="11849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Antigen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Antibody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17-mer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R</w:t>
            </w:r>
            <w:r w:rsidRPr="00124F85">
              <w:rPr>
                <w:rFonts w:ascii="Times New Roman" w:hAnsi="Times New Roman" w:cs="Times New Roman"/>
                <w:b/>
                <w:bCs/>
                <w:iCs/>
                <w:sz w:val="16"/>
                <w:vertAlign w:val="superscript"/>
              </w:rPr>
              <w:t>2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2D10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99.97%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PL64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2.29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0.76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F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0.08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0.08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0.14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2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0.07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6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99.82%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PL80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2.34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-0.05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1.13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0.16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0.07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2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-0.02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0.13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6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99.60%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2A17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2.11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0.92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1.66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62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0.81</w:t>
            </w:r>
          </w:p>
        </w:tc>
        <w:tc>
          <w:tcPr>
            <w:tcW w:w="426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0.87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0.17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0.06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6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0.56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99.03%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2B2</w:t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2.07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0.58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1.51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0.20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62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0.42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99.08%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Reference H5N1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CD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99.83%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2B47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99.91%</w:t>
            </w: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top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Mean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ANOVA</w:t>
            </w:r>
          </w:p>
        </w:tc>
        <w:tc>
          <w:tcPr>
            <w:tcW w:w="935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1006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1006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R</w:t>
            </w:r>
            <w:r w:rsidRPr="00124F85">
              <w:rPr>
                <w:rFonts w:ascii="Times New Roman" w:hAnsi="Times New Roman" w:cs="Times New Roman"/>
                <w:b/>
                <w:bCs/>
                <w:iCs/>
                <w:sz w:val="16"/>
                <w:vertAlign w:val="superscript"/>
              </w:rPr>
              <w:t>2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84.61%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84.78%</w:t>
            </w:r>
          </w:p>
        </w:tc>
        <w:tc>
          <w:tcPr>
            <w:tcW w:w="97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98.83%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99.28%</w:t>
            </w:r>
          </w:p>
        </w:tc>
        <w:tc>
          <w:tcPr>
            <w:tcW w:w="100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86.79%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98.17%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99.96%</w:t>
            </w:r>
          </w:p>
        </w:tc>
        <w:tc>
          <w:tcPr>
            <w:tcW w:w="98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99.65%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99.57%</w:t>
            </w:r>
          </w:p>
        </w:tc>
        <w:tc>
          <w:tcPr>
            <w:tcW w:w="100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66.69%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95.67%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72.86%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</w:tbl>
    <w:p w:rsidR="005C1D6D" w:rsidRPr="009B232F" w:rsidRDefault="005C1D6D" w:rsidP="005C1D6D">
      <w:pPr>
        <w:spacing w:after="0" w:line="360" w:lineRule="auto"/>
        <w:rPr>
          <w:rFonts w:ascii="Times New Roman" w:hAnsi="Times New Roman" w:cs="Times New Roman"/>
          <w:iCs/>
        </w:rPr>
      </w:pPr>
      <w:r w:rsidRPr="009B232F">
        <w:rPr>
          <w:rFonts w:ascii="Times New Roman" w:hAnsi="Times New Roman" w:cs="Times New Roman"/>
          <w:iCs/>
        </w:rPr>
        <w:tab/>
      </w:r>
      <w:r w:rsidRPr="009B232F">
        <w:rPr>
          <w:rFonts w:ascii="Times New Roman" w:hAnsi="Times New Roman" w:cs="Times New Roman"/>
          <w:iCs/>
        </w:rPr>
        <w:tab/>
      </w:r>
      <w:r w:rsidRPr="009B232F">
        <w:rPr>
          <w:rFonts w:ascii="Times New Roman" w:hAnsi="Times New Roman" w:cs="Times New Roman"/>
          <w:iCs/>
        </w:rPr>
        <w:tab/>
      </w:r>
      <w:r w:rsidRPr="009B232F">
        <w:rPr>
          <w:rFonts w:ascii="Times New Roman" w:hAnsi="Times New Roman" w:cs="Times New Roman"/>
          <w:iCs/>
        </w:rPr>
        <w:tab/>
      </w:r>
      <w:r w:rsidRPr="009B232F">
        <w:rPr>
          <w:rFonts w:ascii="Times New Roman" w:hAnsi="Times New Roman" w:cs="Times New Roman"/>
          <w:iCs/>
        </w:rPr>
        <w:tab/>
      </w:r>
    </w:p>
    <w:p w:rsidR="005C1D6D" w:rsidRPr="009B232F" w:rsidRDefault="005C1D6D" w:rsidP="005C1D6D">
      <w:pPr>
        <w:spacing w:after="0" w:line="360" w:lineRule="auto"/>
        <w:rPr>
          <w:rFonts w:ascii="Times New Roman" w:hAnsi="Times New Roman" w:cs="Times New Roman"/>
          <w:iCs/>
        </w:rPr>
        <w:sectPr w:rsidR="005C1D6D" w:rsidRPr="009B232F" w:rsidSect="00152B1E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B232F">
        <w:rPr>
          <w:rFonts w:ascii="Times New Roman" w:hAnsi="Times New Roman" w:cs="Times New Roman"/>
          <w:iCs/>
        </w:rPr>
        <w:tab/>
      </w:r>
    </w:p>
    <w:p w:rsidR="005C1D6D" w:rsidRPr="009B232F" w:rsidRDefault="00006A7C" w:rsidP="00006A7C">
      <w:pPr>
        <w:spacing w:after="0" w:line="36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5F3C3F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="005C1D6D" w:rsidRPr="005F3C3F">
        <w:rPr>
          <w:rFonts w:ascii="Times New Roman" w:hAnsi="Times New Roman" w:cs="Times New Roman"/>
          <w:b/>
          <w:bCs/>
        </w:rPr>
        <w:t>.</w:t>
      </w:r>
      <w:proofErr w:type="gramEnd"/>
      <w:r w:rsidR="005C1D6D" w:rsidRPr="005F3C3F">
        <w:rPr>
          <w:rFonts w:ascii="Times New Roman" w:hAnsi="Times New Roman" w:cs="Times New Roman"/>
        </w:rPr>
        <w:t xml:space="preserve"> </w:t>
      </w:r>
      <w:proofErr w:type="gramStart"/>
      <w:r w:rsidR="005C1D6D" w:rsidRPr="005F3C3F">
        <w:rPr>
          <w:rFonts w:ascii="Times New Roman" w:hAnsi="Times New Roman" w:cs="Times New Roman"/>
        </w:rPr>
        <w:t>Comparisons of mean OD</w:t>
      </w:r>
      <w:r w:rsidR="005C1D6D" w:rsidRPr="005F3C3F">
        <w:rPr>
          <w:rFonts w:ascii="Times New Roman" w:hAnsi="Times New Roman" w:cs="Times New Roman"/>
          <w:vertAlign w:val="subscript"/>
        </w:rPr>
        <w:t>450</w:t>
      </w:r>
      <w:r w:rsidR="005C1D6D" w:rsidRPr="005F3C3F">
        <w:rPr>
          <w:rFonts w:ascii="Times New Roman" w:hAnsi="Times New Roman" w:cs="Times New Roman"/>
        </w:rPr>
        <w:t xml:space="preserve"> readings for mouse antibodies reactivity </w:t>
      </w:r>
      <w:r w:rsidR="005C1D6D" w:rsidRPr="005F3C3F">
        <w:rPr>
          <w:rFonts w:ascii="Times New Roman" w:hAnsi="Times New Roman" w:cs="Times New Roman"/>
          <w:iCs/>
        </w:rPr>
        <w:t>to the M2e peptides (antigen).</w:t>
      </w:r>
      <w:proofErr w:type="gramEnd"/>
      <w:r w:rsidR="005C1D6D" w:rsidRPr="005F3C3F">
        <w:rPr>
          <w:rFonts w:ascii="Times New Roman" w:hAnsi="Times New Roman" w:cs="Times New Roman"/>
          <w:iCs/>
        </w:rPr>
        <w:t xml:space="preserve"> Overall mean, significance value and R-squared value (R</w:t>
      </w:r>
      <w:r w:rsidR="005C1D6D" w:rsidRPr="005F3C3F">
        <w:rPr>
          <w:rFonts w:ascii="Times New Roman" w:hAnsi="Times New Roman" w:cs="Times New Roman"/>
          <w:iCs/>
          <w:vertAlign w:val="superscript"/>
        </w:rPr>
        <w:t>2</w:t>
      </w:r>
      <w:r w:rsidR="005C1D6D" w:rsidRPr="005F3C3F">
        <w:rPr>
          <w:rFonts w:ascii="Times New Roman" w:hAnsi="Times New Roman" w:cs="Times New Roman"/>
          <w:iCs/>
        </w:rPr>
        <w:t>) of antigen reactivity against different antibodies are listed horizontally (bottom row), while the values for antibody reactivity against different antigen are listed vertically (last 3 columns). Mean OD</w:t>
      </w:r>
      <w:r w:rsidR="005C1D6D" w:rsidRPr="005F3C3F">
        <w:rPr>
          <w:rFonts w:ascii="Times New Roman" w:hAnsi="Times New Roman" w:cs="Times New Roman"/>
          <w:iCs/>
          <w:vertAlign w:val="subscript"/>
        </w:rPr>
        <w:t>450</w:t>
      </w:r>
      <w:r w:rsidR="005C1D6D" w:rsidRPr="005F3C3F">
        <w:rPr>
          <w:rFonts w:ascii="Times New Roman" w:hAnsi="Times New Roman" w:cs="Times New Roman"/>
          <w:iCs/>
        </w:rPr>
        <w:t xml:space="preserve"> readings that do not share a letter are significantly different at p=0.05 according to Tukey Pairwise Comparisons.</w:t>
      </w:r>
      <w:r w:rsidR="005C1D6D" w:rsidRPr="009B232F">
        <w:rPr>
          <w:rFonts w:ascii="Times New Roman" w:hAnsi="Times New Roman" w:cs="Times New Roman"/>
          <w:iCs/>
        </w:rPr>
        <w:tab/>
      </w:r>
    </w:p>
    <w:tbl>
      <w:tblPr>
        <w:tblStyle w:val="TableGrid"/>
        <w:tblW w:w="15403" w:type="dxa"/>
        <w:jc w:val="center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64"/>
        <w:gridCol w:w="567"/>
        <w:gridCol w:w="496"/>
        <w:gridCol w:w="422"/>
        <w:gridCol w:w="564"/>
        <w:gridCol w:w="424"/>
        <w:gridCol w:w="564"/>
        <w:gridCol w:w="423"/>
        <w:gridCol w:w="564"/>
        <w:gridCol w:w="423"/>
        <w:gridCol w:w="564"/>
        <w:gridCol w:w="423"/>
        <w:gridCol w:w="564"/>
        <w:gridCol w:w="430"/>
        <w:gridCol w:w="560"/>
        <w:gridCol w:w="423"/>
        <w:gridCol w:w="564"/>
        <w:gridCol w:w="423"/>
        <w:gridCol w:w="564"/>
        <w:gridCol w:w="439"/>
        <w:gridCol w:w="550"/>
        <w:gridCol w:w="424"/>
        <w:gridCol w:w="564"/>
        <w:gridCol w:w="423"/>
        <w:gridCol w:w="705"/>
        <w:gridCol w:w="803"/>
        <w:gridCol w:w="843"/>
      </w:tblGrid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bottom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</w:p>
        </w:tc>
        <w:tc>
          <w:tcPr>
            <w:tcW w:w="11926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Antigen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Antibody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17-mer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</w:rPr>
              <w:t>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Mean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ANOVA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R</w:t>
            </w:r>
            <w:r w:rsidRPr="00124F85">
              <w:rPr>
                <w:rFonts w:ascii="Times New Roman" w:hAnsi="Times New Roman" w:cs="Times New Roman"/>
                <w:b/>
                <w:bCs/>
                <w:iCs/>
                <w:sz w:val="16"/>
                <w:vertAlign w:val="superscript"/>
              </w:rPr>
              <w:t>2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1N5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99.30%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nil"/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2D16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3.30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2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5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0.28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83.69%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2E14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0.35</w:t>
            </w:r>
          </w:p>
        </w:tc>
        <w:tc>
          <w:tcPr>
            <w:tcW w:w="422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0.13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0.54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5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0.32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99.70%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2G14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496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2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0.05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3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C</w:t>
            </w:r>
          </w:p>
        </w:tc>
        <w:tc>
          <w:tcPr>
            <w:tcW w:w="56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9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0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3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0.20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99.09%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bottom w:val="nil"/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3D23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1.69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0.04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0.09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0.08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0.06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0.17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53.13%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3H4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-0.01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A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0.23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99.98%</w:t>
            </w: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Mean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2.51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ANOVA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p=0.05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p=0.01</w:t>
            </w:r>
          </w:p>
        </w:tc>
        <w:tc>
          <w:tcPr>
            <w:tcW w:w="974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Not significant</w:t>
            </w:r>
          </w:p>
        </w:tc>
        <w:tc>
          <w:tcPr>
            <w:tcW w:w="705" w:type="dxa"/>
            <w:tcBorders>
              <w:left w:val="nil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43" w:type="dxa"/>
            <w:tcBorders>
              <w:lef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  <w:tr w:rsidR="005C1D6D" w:rsidRPr="00257D89" w:rsidTr="00DA4C1F">
        <w:trPr>
          <w:trHeight w:val="300"/>
          <w:jc w:val="center"/>
        </w:trPr>
        <w:tc>
          <w:tcPr>
            <w:tcW w:w="1126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b/>
                <w:bCs/>
                <w:iCs/>
                <w:sz w:val="16"/>
              </w:rPr>
              <w:t>R</w:t>
            </w:r>
            <w:r w:rsidRPr="00124F85">
              <w:rPr>
                <w:rFonts w:ascii="Times New Roman" w:hAnsi="Times New Roman" w:cs="Times New Roman"/>
                <w:b/>
                <w:bCs/>
                <w:iCs/>
                <w:sz w:val="16"/>
                <w:vertAlign w:val="superscript"/>
              </w:rPr>
              <w:t>2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19.96%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93.95%</w:t>
            </w:r>
          </w:p>
        </w:tc>
        <w:tc>
          <w:tcPr>
            <w:tcW w:w="98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91.78</w:t>
            </w: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97.28%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82.95%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64.1%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257D89">
              <w:rPr>
                <w:rFonts w:ascii="Times New Roman" w:hAnsi="Times New Roman" w:cs="Times New Roman"/>
                <w:iCs/>
                <w:sz w:val="16"/>
              </w:rPr>
              <w:t>0.0%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</w:tcPr>
          <w:p w:rsidR="005C1D6D" w:rsidRPr="00257D89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</w:tc>
      </w:tr>
    </w:tbl>
    <w:p w:rsidR="005C1D6D" w:rsidRPr="009B232F" w:rsidRDefault="005C1D6D" w:rsidP="005C1D6D">
      <w:pPr>
        <w:spacing w:after="0" w:line="360" w:lineRule="auto"/>
        <w:rPr>
          <w:rFonts w:ascii="Times New Roman" w:hAnsi="Times New Roman" w:cs="Times New Roman"/>
          <w:iCs/>
        </w:rPr>
        <w:sectPr w:rsidR="005C1D6D" w:rsidRPr="009B232F" w:rsidSect="002138A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C1D6D" w:rsidRPr="009B232F" w:rsidRDefault="00006A7C" w:rsidP="00006A7C">
      <w:pPr>
        <w:spacing w:after="0" w:line="360" w:lineRule="auto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Pr="005F3C3F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3</w:t>
      </w:r>
      <w:r w:rsidR="005C1D6D" w:rsidRPr="009B232F">
        <w:rPr>
          <w:rFonts w:ascii="Times New Roman" w:hAnsi="Times New Roman" w:cs="Times New Roman"/>
          <w:b/>
          <w:bCs/>
        </w:rPr>
        <w:t>.</w:t>
      </w:r>
      <w:proofErr w:type="gramEnd"/>
      <w:r w:rsidR="005C1D6D" w:rsidRPr="009B232F">
        <w:rPr>
          <w:rFonts w:ascii="Times New Roman" w:hAnsi="Times New Roman" w:cs="Times New Roman"/>
          <w:b/>
          <w:bCs/>
        </w:rPr>
        <w:t xml:space="preserve"> </w:t>
      </w:r>
      <w:r w:rsidR="005C1D6D" w:rsidRPr="005F3C3F">
        <w:rPr>
          <w:rFonts w:ascii="Times New Roman" w:hAnsi="Times New Roman" w:cs="Times New Roman"/>
          <w:iCs/>
        </w:rPr>
        <w:t>Comparison of OD</w:t>
      </w:r>
      <w:r w:rsidR="005C1D6D" w:rsidRPr="005F3C3F">
        <w:rPr>
          <w:rFonts w:ascii="Times New Roman" w:hAnsi="Times New Roman" w:cs="Times New Roman"/>
          <w:iCs/>
          <w:vertAlign w:val="subscript"/>
        </w:rPr>
        <w:t xml:space="preserve">450 </w:t>
      </w:r>
      <w:r w:rsidR="005C1D6D" w:rsidRPr="005F3C3F">
        <w:rPr>
          <w:rFonts w:ascii="Times New Roman" w:hAnsi="Times New Roman" w:cs="Times New Roman"/>
          <w:iCs/>
        </w:rPr>
        <w:t>reading for rabbit antibody reactivity to the M2e peptides (antigen). Mean OD</w:t>
      </w:r>
      <w:r w:rsidR="005C1D6D" w:rsidRPr="005F3C3F">
        <w:rPr>
          <w:rFonts w:ascii="Times New Roman" w:hAnsi="Times New Roman" w:cs="Times New Roman"/>
          <w:iCs/>
          <w:vertAlign w:val="subscript"/>
        </w:rPr>
        <w:t>450</w:t>
      </w:r>
      <w:r w:rsidR="005C1D6D" w:rsidRPr="005F3C3F">
        <w:rPr>
          <w:rFonts w:ascii="Times New Roman" w:hAnsi="Times New Roman" w:cs="Times New Roman"/>
          <w:iCs/>
        </w:rPr>
        <w:t xml:space="preserve"> readings that do not share a letter are significantly different at p=0.05 according to Tukey Pairwise Comparisons.</w:t>
      </w:r>
      <w:r w:rsidR="005C1D6D" w:rsidRPr="009B232F">
        <w:rPr>
          <w:rFonts w:ascii="Times New Roman" w:hAnsi="Times New Roman" w:cs="Times New Roman"/>
          <w:iCs/>
        </w:rPr>
        <w:tab/>
      </w:r>
    </w:p>
    <w:tbl>
      <w:tblPr>
        <w:tblStyle w:val="TableGrid"/>
        <w:tblW w:w="3521" w:type="dxa"/>
        <w:jc w:val="center"/>
        <w:tblInd w:w="-7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271"/>
        <w:gridCol w:w="783"/>
      </w:tblGrid>
      <w:tr w:rsidR="005C1D6D" w:rsidRPr="009B232F" w:rsidTr="00DA4C1F">
        <w:trPr>
          <w:trHeight w:val="274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232F">
              <w:rPr>
                <w:rFonts w:ascii="Times New Roman" w:hAnsi="Times New Roman" w:cs="Times New Roman"/>
                <w:b/>
                <w:bCs/>
                <w:iCs/>
              </w:rPr>
              <w:t>Antigen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232F">
              <w:rPr>
                <w:rFonts w:ascii="Times New Roman" w:hAnsi="Times New Roman" w:cs="Times New Roman"/>
                <w:b/>
                <w:bCs/>
                <w:iCs/>
              </w:rPr>
              <w:t>Rabbit antibody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17-mer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1.73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B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-0.07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0.12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E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1.96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A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-0.10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-0.10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-0.07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-0.08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0.14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E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1.58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C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1.42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D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0.00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F</w:t>
            </w: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b/>
                <w:bCs/>
                <w:iCs/>
              </w:rPr>
              <w:t>ANOVA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p=0.01</w:t>
            </w:r>
          </w:p>
        </w:tc>
        <w:tc>
          <w:tcPr>
            <w:tcW w:w="783" w:type="dxa"/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C1D6D" w:rsidRPr="009B232F" w:rsidTr="00DA4C1F">
        <w:trPr>
          <w:trHeight w:val="300"/>
          <w:jc w:val="center"/>
        </w:trPr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232F">
              <w:rPr>
                <w:rFonts w:ascii="Times New Roman" w:hAnsi="Times New Roman" w:cs="Times New Roman"/>
                <w:b/>
                <w:bCs/>
                <w:iCs/>
              </w:rPr>
              <w:t>R</w:t>
            </w:r>
            <w:r w:rsidRPr="009A06A2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1D6D" w:rsidRPr="009B232F" w:rsidRDefault="005C1D6D" w:rsidP="00DA4C1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232F">
              <w:rPr>
                <w:rFonts w:ascii="Times New Roman" w:hAnsi="Times New Roman" w:cs="Times New Roman"/>
                <w:iCs/>
              </w:rPr>
              <w:t>99.74%</w:t>
            </w:r>
          </w:p>
        </w:tc>
      </w:tr>
    </w:tbl>
    <w:p w:rsidR="005C1D6D" w:rsidRPr="009B232F" w:rsidRDefault="005C1D6D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06A7C" w:rsidRDefault="00006A7C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</w:p>
    <w:p w:rsidR="00026F11" w:rsidRDefault="00026F11" w:rsidP="005C1D6D">
      <w:pPr>
        <w:spacing w:after="0" w:line="36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026F11" w:rsidSect="00F359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5F" w:rsidRDefault="00BA445F" w:rsidP="00026F11">
      <w:pPr>
        <w:spacing w:after="0" w:line="240" w:lineRule="auto"/>
      </w:pPr>
      <w:r>
        <w:separator/>
      </w:r>
    </w:p>
  </w:endnote>
  <w:endnote w:type="continuationSeparator" w:id="0">
    <w:p w:rsidR="00BA445F" w:rsidRDefault="00BA445F" w:rsidP="0002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5F" w:rsidRDefault="00BA445F" w:rsidP="00026F11">
      <w:pPr>
        <w:spacing w:after="0" w:line="240" w:lineRule="auto"/>
      </w:pPr>
      <w:r>
        <w:separator/>
      </w:r>
    </w:p>
  </w:footnote>
  <w:footnote w:type="continuationSeparator" w:id="0">
    <w:p w:rsidR="00BA445F" w:rsidRDefault="00BA445F" w:rsidP="0002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74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6F11" w:rsidRDefault="00026F1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6F11" w:rsidRDefault="00026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896"/>
    <w:multiLevelType w:val="hybridMultilevel"/>
    <w:tmpl w:val="1352B0F6"/>
    <w:lvl w:ilvl="0" w:tplc="730621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A3"/>
    <w:rsid w:val="00006A7C"/>
    <w:rsid w:val="00026F11"/>
    <w:rsid w:val="00066D9A"/>
    <w:rsid w:val="00081714"/>
    <w:rsid w:val="001F5AA9"/>
    <w:rsid w:val="003C080B"/>
    <w:rsid w:val="003E6B38"/>
    <w:rsid w:val="005237EF"/>
    <w:rsid w:val="005959A4"/>
    <w:rsid w:val="005C1D6D"/>
    <w:rsid w:val="00612709"/>
    <w:rsid w:val="006F55C7"/>
    <w:rsid w:val="007621DE"/>
    <w:rsid w:val="008301C9"/>
    <w:rsid w:val="00A2436C"/>
    <w:rsid w:val="00B37027"/>
    <w:rsid w:val="00BA445F"/>
    <w:rsid w:val="00CC7499"/>
    <w:rsid w:val="00D1453F"/>
    <w:rsid w:val="00EA48DE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D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81714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66D9A"/>
    <w:pPr>
      <w:keepNext/>
      <w:keepLines/>
      <w:bidi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2436C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714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237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3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D9A"/>
    <w:rPr>
      <w:rFonts w:eastAsiaTheme="majorEastAsia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8301C9"/>
    <w:pPr>
      <w:tabs>
        <w:tab w:val="right" w:leader="dot" w:pos="9055"/>
      </w:tabs>
      <w:spacing w:after="0" w:line="360" w:lineRule="auto"/>
    </w:pPr>
    <w:rPr>
      <w:rFonts w:ascii="Times New Roman" w:hAnsi="Times New Roman" w:cs="Times New Roman"/>
      <w:sz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8301C9"/>
    <w:rPr>
      <w:rFonts w:ascii="Times New Roman" w:hAnsi="Times New Roman" w:cs="Times New Roman"/>
      <w:sz w:val="24"/>
    </w:rPr>
  </w:style>
  <w:style w:type="paragraph" w:styleId="TOC1">
    <w:name w:val="toc 1"/>
    <w:aliases w:val="Ttle"/>
    <w:basedOn w:val="Normal"/>
    <w:next w:val="Normal"/>
    <w:autoRedefine/>
    <w:uiPriority w:val="39"/>
    <w:unhideWhenUsed/>
    <w:rsid w:val="00B37027"/>
    <w:pPr>
      <w:framePr w:wrap="around" w:vAnchor="text" w:hAnchor="text" w:y="1"/>
      <w:pBdr>
        <w:bottom w:val="single" w:sz="12" w:space="0" w:color="auto"/>
      </w:pBdr>
      <w:tabs>
        <w:tab w:val="right" w:leader="dot" w:pos="9350"/>
      </w:tabs>
      <w:spacing w:before="360" w:after="120" w:line="240" w:lineRule="auto"/>
      <w:jc w:val="both"/>
    </w:pPr>
    <w:rPr>
      <w:rFonts w:ascii="Times New Roman" w:hAnsi="Times New Roman" w:cs="Times New Roman"/>
      <w:b/>
      <w:bCs/>
      <w:sz w:val="28"/>
      <w:szCs w:val="24"/>
    </w:rPr>
  </w:style>
  <w:style w:type="character" w:styleId="Strong">
    <w:name w:val="Strong"/>
    <w:uiPriority w:val="22"/>
    <w:qFormat/>
    <w:rsid w:val="007621DE"/>
    <w:rPr>
      <w:b/>
      <w:bCs/>
    </w:rPr>
  </w:style>
  <w:style w:type="paragraph" w:styleId="ListParagraph">
    <w:name w:val="List Paragraph"/>
    <w:basedOn w:val="Normal"/>
    <w:uiPriority w:val="34"/>
    <w:qFormat/>
    <w:rsid w:val="007621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436C"/>
    <w:rPr>
      <w:rFonts w:eastAsiaTheme="majorEastAsia" w:cstheme="majorBidi"/>
      <w:b/>
      <w:bCs/>
      <w:i/>
      <w:iCs/>
      <w:sz w:val="24"/>
      <w:szCs w:val="22"/>
    </w:rPr>
  </w:style>
  <w:style w:type="table" w:styleId="TableGrid">
    <w:name w:val="Table Grid"/>
    <w:basedOn w:val="TableNormal"/>
    <w:uiPriority w:val="59"/>
    <w:rsid w:val="005C1D6D"/>
    <w:rPr>
      <w:rFonts w:asciiTheme="minorHAnsi" w:eastAsiaTheme="minorEastAsia" w:hAnsiTheme="minorHAnsi" w:cstheme="minorBid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11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11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D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81714"/>
    <w:pPr>
      <w:keepNext/>
      <w:keepLines/>
      <w:spacing w:before="480" w:after="36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66D9A"/>
    <w:pPr>
      <w:keepNext/>
      <w:keepLines/>
      <w:bidi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2436C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714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237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37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D9A"/>
    <w:rPr>
      <w:rFonts w:eastAsiaTheme="majorEastAsia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8301C9"/>
    <w:pPr>
      <w:tabs>
        <w:tab w:val="right" w:leader="dot" w:pos="9055"/>
      </w:tabs>
      <w:spacing w:after="0" w:line="360" w:lineRule="auto"/>
    </w:pPr>
    <w:rPr>
      <w:rFonts w:ascii="Times New Roman" w:hAnsi="Times New Roman" w:cs="Times New Roman"/>
      <w:sz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8301C9"/>
    <w:rPr>
      <w:rFonts w:ascii="Times New Roman" w:hAnsi="Times New Roman" w:cs="Times New Roman"/>
      <w:sz w:val="24"/>
    </w:rPr>
  </w:style>
  <w:style w:type="paragraph" w:styleId="TOC1">
    <w:name w:val="toc 1"/>
    <w:aliases w:val="Ttle"/>
    <w:basedOn w:val="Normal"/>
    <w:next w:val="Normal"/>
    <w:autoRedefine/>
    <w:uiPriority w:val="39"/>
    <w:unhideWhenUsed/>
    <w:rsid w:val="00B37027"/>
    <w:pPr>
      <w:framePr w:wrap="around" w:vAnchor="text" w:hAnchor="text" w:y="1"/>
      <w:pBdr>
        <w:bottom w:val="single" w:sz="12" w:space="0" w:color="auto"/>
      </w:pBdr>
      <w:tabs>
        <w:tab w:val="right" w:leader="dot" w:pos="9350"/>
      </w:tabs>
      <w:spacing w:before="360" w:after="120" w:line="240" w:lineRule="auto"/>
      <w:jc w:val="both"/>
    </w:pPr>
    <w:rPr>
      <w:rFonts w:ascii="Times New Roman" w:hAnsi="Times New Roman" w:cs="Times New Roman"/>
      <w:b/>
      <w:bCs/>
      <w:sz w:val="28"/>
      <w:szCs w:val="24"/>
    </w:rPr>
  </w:style>
  <w:style w:type="character" w:styleId="Strong">
    <w:name w:val="Strong"/>
    <w:uiPriority w:val="22"/>
    <w:qFormat/>
    <w:rsid w:val="007621DE"/>
    <w:rPr>
      <w:b/>
      <w:bCs/>
    </w:rPr>
  </w:style>
  <w:style w:type="paragraph" w:styleId="ListParagraph">
    <w:name w:val="List Paragraph"/>
    <w:basedOn w:val="Normal"/>
    <w:uiPriority w:val="34"/>
    <w:qFormat/>
    <w:rsid w:val="007621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2436C"/>
    <w:rPr>
      <w:rFonts w:eastAsiaTheme="majorEastAsia" w:cstheme="majorBidi"/>
      <w:b/>
      <w:bCs/>
      <w:i/>
      <w:iCs/>
      <w:sz w:val="24"/>
      <w:szCs w:val="22"/>
    </w:rPr>
  </w:style>
  <w:style w:type="table" w:styleId="TableGrid">
    <w:name w:val="Table Grid"/>
    <w:basedOn w:val="TableNormal"/>
    <w:uiPriority w:val="59"/>
    <w:rsid w:val="005C1D6D"/>
    <w:rPr>
      <w:rFonts w:asciiTheme="minorHAnsi" w:eastAsiaTheme="minorEastAsia" w:hAnsiTheme="minorHAnsi" w:cstheme="minorBid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11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11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Manijeh</dc:creator>
  <cp:lastModifiedBy>a1201902</cp:lastModifiedBy>
  <cp:revision>5</cp:revision>
  <dcterms:created xsi:type="dcterms:W3CDTF">2015-09-15T01:07:00Z</dcterms:created>
  <dcterms:modified xsi:type="dcterms:W3CDTF">2016-05-03T16:53:00Z</dcterms:modified>
</cp:coreProperties>
</file>