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74" w:rsidRPr="001F2CB8" w:rsidRDefault="006A3174" w:rsidP="006A3174">
      <w:pP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bookmarkStart w:id="0" w:name="_GoBack"/>
      <w:r w:rsidRPr="001F2CB8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Table S4. Plasma organic acids at exhaustion prior to the dietary interventions and the following morning (Day 2).</w:t>
      </w:r>
    </w:p>
    <w:tbl>
      <w:tblPr>
        <w:tblStyle w:val="Tabellrutenett"/>
        <w:tblW w:w="8156" w:type="dxa"/>
        <w:tblLayout w:type="fixed"/>
        <w:tblLook w:val="04A0" w:firstRow="1" w:lastRow="0" w:firstColumn="1" w:lastColumn="0" w:noHBand="0" w:noVBand="1"/>
      </w:tblPr>
      <w:tblGrid>
        <w:gridCol w:w="2429"/>
        <w:gridCol w:w="1432"/>
        <w:gridCol w:w="1431"/>
        <w:gridCol w:w="1432"/>
        <w:gridCol w:w="1432"/>
      </w:tblGrid>
      <w:tr w:rsidR="006A3174" w:rsidRPr="007F2AF2" w:rsidTr="00A755D4">
        <w:trPr>
          <w:trHeight w:hRule="exact" w:val="295"/>
        </w:trPr>
        <w:tc>
          <w:tcPr>
            <w:tcW w:w="2429" w:type="dxa"/>
            <w:vMerge w:val="restart"/>
          </w:tcPr>
          <w:bookmarkEnd w:id="0"/>
          <w:p w:rsidR="006A3174" w:rsidRPr="00AF0B32" w:rsidRDefault="006A3174" w:rsidP="00A755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right" w:pos="12758"/>
              </w:tabs>
              <w:rPr>
                <w:rFonts w:eastAsiaTheme="minorHAnsi"/>
                <w:b/>
                <w:sz w:val="18"/>
                <w:szCs w:val="18"/>
                <w:lang w:val="en-US" w:eastAsia="en-US"/>
              </w:rPr>
            </w:pPr>
            <w:r w:rsidRPr="00AF0B32">
              <w:rPr>
                <w:rFonts w:eastAsiaTheme="minorHAnsi"/>
                <w:b/>
                <w:sz w:val="18"/>
                <w:szCs w:val="18"/>
                <w:lang w:val="en-US" w:eastAsia="en-US"/>
              </w:rPr>
              <w:t>Plasma organic acids</w:t>
            </w:r>
          </w:p>
        </w:tc>
        <w:tc>
          <w:tcPr>
            <w:tcW w:w="5727" w:type="dxa"/>
            <w:gridSpan w:val="4"/>
          </w:tcPr>
          <w:p w:rsidR="006A3174" w:rsidRPr="00AF0B32" w:rsidRDefault="006A3174" w:rsidP="00A755D4">
            <w:pPr>
              <w:jc w:val="center"/>
              <w:rPr>
                <w:rFonts w:eastAsiaTheme="minorHAnsi"/>
                <w:b/>
                <w:sz w:val="18"/>
                <w:szCs w:val="18"/>
                <w:lang w:val="en-US" w:eastAsia="en-US"/>
              </w:rPr>
            </w:pPr>
            <w:r w:rsidRPr="00AF0B32">
              <w:rPr>
                <w:rFonts w:eastAsiaTheme="minorHAnsi"/>
                <w:b/>
                <w:sz w:val="18"/>
                <w:szCs w:val="18"/>
                <w:lang w:val="en-US" w:eastAsia="en-US"/>
              </w:rPr>
              <w:t>Concentration (</w:t>
            </w:r>
            <w:r w:rsidRPr="00AF0B32">
              <w:rPr>
                <w:rFonts w:eastAsiaTheme="minorHAnsi" w:cstheme="minorHAnsi"/>
                <w:b/>
                <w:sz w:val="18"/>
                <w:szCs w:val="18"/>
                <w:lang w:val="en-US" w:eastAsia="en-US"/>
              </w:rPr>
              <w:t>µ</w:t>
            </w:r>
            <w:r w:rsidRPr="00AF0B32">
              <w:rPr>
                <w:rFonts w:eastAsiaTheme="minorHAnsi"/>
                <w:b/>
                <w:sz w:val="18"/>
                <w:szCs w:val="18"/>
                <w:lang w:val="en-US" w:eastAsia="en-US"/>
              </w:rPr>
              <w:t>M)</w:t>
            </w:r>
          </w:p>
        </w:tc>
      </w:tr>
      <w:tr w:rsidR="006A3174" w:rsidRPr="007F2AF2" w:rsidTr="00A755D4">
        <w:trPr>
          <w:trHeight w:hRule="exact" w:val="295"/>
        </w:trPr>
        <w:tc>
          <w:tcPr>
            <w:tcW w:w="2429" w:type="dxa"/>
            <w:vMerge/>
          </w:tcPr>
          <w:p w:rsidR="006A3174" w:rsidRPr="00AF0B32" w:rsidRDefault="006A3174" w:rsidP="00A755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right" w:pos="12758"/>
              </w:tabs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:rsidR="006A3174" w:rsidRPr="00AF0B32" w:rsidRDefault="006A3174" w:rsidP="00A755D4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AF0B32">
              <w:rPr>
                <w:rFonts w:eastAsiaTheme="minorHAnsi"/>
                <w:b/>
                <w:sz w:val="18"/>
                <w:szCs w:val="18"/>
                <w:lang w:val="en-US" w:eastAsia="en-US"/>
              </w:rPr>
              <w:t>Exhaustion</w:t>
            </w:r>
          </w:p>
        </w:tc>
        <w:tc>
          <w:tcPr>
            <w:tcW w:w="1431" w:type="dxa"/>
          </w:tcPr>
          <w:p w:rsidR="006A3174" w:rsidRPr="00AF0B32" w:rsidRDefault="006A3174" w:rsidP="00A755D4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AF0B32">
              <w:rPr>
                <w:rFonts w:eastAsiaTheme="minorHAnsi"/>
                <w:b/>
                <w:sz w:val="18"/>
                <w:szCs w:val="18"/>
                <w:lang w:val="en-US" w:eastAsia="en-US"/>
              </w:rPr>
              <w:t>CHO+PROT</w:t>
            </w:r>
          </w:p>
        </w:tc>
        <w:tc>
          <w:tcPr>
            <w:tcW w:w="1432" w:type="dxa"/>
          </w:tcPr>
          <w:p w:rsidR="006A3174" w:rsidRPr="00AF0B32" w:rsidRDefault="006A3174" w:rsidP="00A755D4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AF0B32">
              <w:rPr>
                <w:rFonts w:eastAsiaTheme="minorHAnsi"/>
                <w:b/>
                <w:sz w:val="18"/>
                <w:szCs w:val="18"/>
                <w:lang w:val="en-US" w:eastAsia="en-US"/>
              </w:rPr>
              <w:t>CHO</w:t>
            </w:r>
          </w:p>
        </w:tc>
        <w:tc>
          <w:tcPr>
            <w:tcW w:w="1432" w:type="dxa"/>
          </w:tcPr>
          <w:p w:rsidR="006A3174" w:rsidRPr="00AF0B32" w:rsidRDefault="006A3174" w:rsidP="00A755D4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AF0B32">
              <w:rPr>
                <w:rFonts w:eastAsiaTheme="minorHAnsi"/>
                <w:b/>
                <w:sz w:val="18"/>
                <w:szCs w:val="18"/>
                <w:lang w:val="en-US" w:eastAsia="en-US"/>
              </w:rPr>
              <w:t>PLA</w:t>
            </w:r>
          </w:p>
        </w:tc>
      </w:tr>
      <w:tr w:rsidR="006A3174" w:rsidRPr="007F2AF2" w:rsidTr="00A755D4">
        <w:trPr>
          <w:trHeight w:hRule="exact" w:val="284"/>
        </w:trPr>
        <w:tc>
          <w:tcPr>
            <w:tcW w:w="2429" w:type="dxa"/>
          </w:tcPr>
          <w:p w:rsidR="006A3174" w:rsidRPr="00AF0B32" w:rsidRDefault="006A317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F0B32">
              <w:rPr>
                <w:rFonts w:eastAsiaTheme="minorHAnsi"/>
                <w:sz w:val="18"/>
                <w:szCs w:val="18"/>
                <w:lang w:val="en-US" w:eastAsia="en-US"/>
              </w:rPr>
              <w:t>Ornithine</w:t>
            </w:r>
          </w:p>
        </w:tc>
        <w:tc>
          <w:tcPr>
            <w:tcW w:w="1432" w:type="dxa"/>
          </w:tcPr>
          <w:p w:rsidR="006A3174" w:rsidRPr="00AF0B32" w:rsidRDefault="006A317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F0B32">
              <w:rPr>
                <w:rFonts w:eastAsiaTheme="minorHAnsi"/>
                <w:sz w:val="18"/>
                <w:szCs w:val="18"/>
                <w:lang w:val="en-US" w:eastAsia="en-US"/>
              </w:rPr>
              <w:t>30.6</w:t>
            </w:r>
            <w:r w:rsidRPr="00AF0B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±2.5</w:t>
            </w:r>
          </w:p>
        </w:tc>
        <w:tc>
          <w:tcPr>
            <w:tcW w:w="1431" w:type="dxa"/>
          </w:tcPr>
          <w:p w:rsidR="006A3174" w:rsidRPr="00AF0B32" w:rsidRDefault="006A317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F0B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38.1±4.2</w:t>
            </w:r>
            <w:r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Pr="006A3174">
              <w:rPr>
                <w:rFonts w:eastAsiaTheme="minorHAnsi" w:cstheme="minorHAnsi"/>
                <w:sz w:val="18"/>
                <w:szCs w:val="18"/>
                <w:vertAlign w:val="superscript"/>
                <w:lang w:val="en-US" w:eastAsia="en-US"/>
              </w:rPr>
              <w:t>E</w:t>
            </w:r>
          </w:p>
        </w:tc>
        <w:tc>
          <w:tcPr>
            <w:tcW w:w="1432" w:type="dxa"/>
          </w:tcPr>
          <w:p w:rsidR="006A3174" w:rsidRPr="00AF0B32" w:rsidRDefault="006A317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F0B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37.3±3.4</w:t>
            </w:r>
            <w:r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Pr="006A3174">
              <w:rPr>
                <w:rFonts w:eastAsiaTheme="minorHAnsi" w:cstheme="minorHAnsi"/>
                <w:sz w:val="18"/>
                <w:szCs w:val="18"/>
                <w:vertAlign w:val="superscript"/>
                <w:lang w:val="en-US" w:eastAsia="en-US"/>
              </w:rPr>
              <w:t>E</w:t>
            </w:r>
          </w:p>
        </w:tc>
        <w:tc>
          <w:tcPr>
            <w:tcW w:w="1432" w:type="dxa"/>
          </w:tcPr>
          <w:p w:rsidR="006A3174" w:rsidRPr="00AF0B32" w:rsidRDefault="006A317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F0B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36.4±3.3</w:t>
            </w:r>
            <w:r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Pr="006A3174">
              <w:rPr>
                <w:rFonts w:eastAsiaTheme="minorHAnsi" w:cstheme="minorHAnsi"/>
                <w:sz w:val="18"/>
                <w:szCs w:val="18"/>
                <w:vertAlign w:val="superscript"/>
                <w:lang w:val="en-US" w:eastAsia="en-US"/>
              </w:rPr>
              <w:t>E</w:t>
            </w:r>
          </w:p>
        </w:tc>
      </w:tr>
      <w:tr w:rsidR="006A3174" w:rsidRPr="007F2AF2" w:rsidTr="00A755D4">
        <w:trPr>
          <w:trHeight w:hRule="exact" w:val="284"/>
        </w:trPr>
        <w:tc>
          <w:tcPr>
            <w:tcW w:w="2429" w:type="dxa"/>
          </w:tcPr>
          <w:p w:rsidR="006A3174" w:rsidRPr="00AF0B32" w:rsidRDefault="006A317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AF0B32">
              <w:rPr>
                <w:rFonts w:eastAsiaTheme="minorHAnsi"/>
                <w:sz w:val="18"/>
                <w:szCs w:val="18"/>
                <w:lang w:val="en-US" w:eastAsia="en-US"/>
              </w:rPr>
              <w:t>Citrulline</w:t>
            </w:r>
            <w:proofErr w:type="spellEnd"/>
          </w:p>
        </w:tc>
        <w:tc>
          <w:tcPr>
            <w:tcW w:w="1432" w:type="dxa"/>
          </w:tcPr>
          <w:p w:rsidR="006A3174" w:rsidRPr="00AF0B32" w:rsidRDefault="006A317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F0B32">
              <w:rPr>
                <w:rFonts w:eastAsiaTheme="minorHAnsi"/>
                <w:sz w:val="18"/>
                <w:szCs w:val="18"/>
                <w:lang w:val="en-US" w:eastAsia="en-US"/>
              </w:rPr>
              <w:t>35.7</w:t>
            </w:r>
            <w:r w:rsidRPr="00AF0B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±2.1</w:t>
            </w:r>
          </w:p>
        </w:tc>
        <w:tc>
          <w:tcPr>
            <w:tcW w:w="1431" w:type="dxa"/>
          </w:tcPr>
          <w:p w:rsidR="006A3174" w:rsidRPr="00AF0B32" w:rsidRDefault="006A317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F0B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35.0±2.7</w:t>
            </w:r>
          </w:p>
        </w:tc>
        <w:tc>
          <w:tcPr>
            <w:tcW w:w="1432" w:type="dxa"/>
          </w:tcPr>
          <w:p w:rsidR="006A3174" w:rsidRPr="00AF0B32" w:rsidRDefault="006A317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F0B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35.0±2.2</w:t>
            </w:r>
          </w:p>
        </w:tc>
        <w:tc>
          <w:tcPr>
            <w:tcW w:w="1432" w:type="dxa"/>
          </w:tcPr>
          <w:p w:rsidR="006A3174" w:rsidRPr="00AF0B32" w:rsidRDefault="006A3174" w:rsidP="00A755D4">
            <w:pPr>
              <w:rPr>
                <w:rFonts w:eastAsiaTheme="minorHAnsi" w:cstheme="minorHAnsi"/>
                <w:sz w:val="18"/>
                <w:szCs w:val="18"/>
                <w:lang w:val="en-US" w:eastAsia="en-US"/>
              </w:rPr>
            </w:pPr>
            <w:r w:rsidRPr="00AF0B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33.1±1.9</w:t>
            </w:r>
          </w:p>
          <w:p w:rsidR="006A3174" w:rsidRPr="00AF0B32" w:rsidRDefault="006A317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6A3174" w:rsidRPr="007F2AF2" w:rsidTr="00A755D4">
        <w:trPr>
          <w:trHeight w:hRule="exact" w:val="284"/>
        </w:trPr>
        <w:tc>
          <w:tcPr>
            <w:tcW w:w="2429" w:type="dxa"/>
          </w:tcPr>
          <w:p w:rsidR="006A3174" w:rsidRPr="00AF0B32" w:rsidRDefault="006A317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F0B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1-Methylhistidine</w:t>
            </w:r>
          </w:p>
        </w:tc>
        <w:tc>
          <w:tcPr>
            <w:tcW w:w="1432" w:type="dxa"/>
          </w:tcPr>
          <w:p w:rsidR="006A3174" w:rsidRPr="00AF0B32" w:rsidRDefault="006A317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F0B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6.6±1.3</w:t>
            </w:r>
            <w:r w:rsidRPr="00AF0B32">
              <w:rPr>
                <w:rFonts w:eastAsiaTheme="minorHAnsi" w:cstheme="minorHAnsi"/>
                <w:sz w:val="18"/>
                <w:szCs w:val="18"/>
                <w:lang w:val="en-US" w:eastAsia="en-US"/>
              </w:rPr>
              <w:tab/>
            </w:r>
          </w:p>
        </w:tc>
        <w:tc>
          <w:tcPr>
            <w:tcW w:w="1431" w:type="dxa"/>
          </w:tcPr>
          <w:p w:rsidR="006A3174" w:rsidRPr="00AF0B32" w:rsidRDefault="006A317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F0B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6.6±1.3</w:t>
            </w:r>
            <w:r w:rsidRPr="00AF0B32">
              <w:rPr>
                <w:rFonts w:eastAsiaTheme="minorHAnsi" w:cstheme="minorHAnsi"/>
                <w:sz w:val="18"/>
                <w:szCs w:val="18"/>
                <w:lang w:val="en-US" w:eastAsia="en-US"/>
              </w:rPr>
              <w:tab/>
            </w:r>
          </w:p>
        </w:tc>
        <w:tc>
          <w:tcPr>
            <w:tcW w:w="1432" w:type="dxa"/>
          </w:tcPr>
          <w:p w:rsidR="006A3174" w:rsidRPr="00AF0B32" w:rsidRDefault="006A317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F0B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4.5±0.5</w:t>
            </w:r>
          </w:p>
        </w:tc>
        <w:tc>
          <w:tcPr>
            <w:tcW w:w="1432" w:type="dxa"/>
          </w:tcPr>
          <w:p w:rsidR="006A3174" w:rsidRPr="00AF0B32" w:rsidRDefault="006A317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F0B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5.0±0.7</w:t>
            </w:r>
          </w:p>
        </w:tc>
      </w:tr>
      <w:tr w:rsidR="006A3174" w:rsidRPr="007F2AF2" w:rsidTr="00A755D4">
        <w:trPr>
          <w:trHeight w:hRule="exact" w:val="284"/>
        </w:trPr>
        <w:tc>
          <w:tcPr>
            <w:tcW w:w="2429" w:type="dxa"/>
          </w:tcPr>
          <w:p w:rsidR="006A3174" w:rsidRPr="00AF0B32" w:rsidRDefault="006A317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F0B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Taurine</w:t>
            </w:r>
            <w:r w:rsidRPr="00AF0B32">
              <w:rPr>
                <w:rFonts w:eastAsiaTheme="minorHAnsi" w:cstheme="minorHAnsi"/>
                <w:sz w:val="18"/>
                <w:szCs w:val="18"/>
                <w:lang w:val="en-US" w:eastAsia="en-US"/>
              </w:rPr>
              <w:tab/>
            </w:r>
          </w:p>
        </w:tc>
        <w:tc>
          <w:tcPr>
            <w:tcW w:w="1432" w:type="dxa"/>
          </w:tcPr>
          <w:p w:rsidR="006A3174" w:rsidRPr="00AF0B32" w:rsidRDefault="006A317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F0B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76.7±6.1</w:t>
            </w:r>
          </w:p>
        </w:tc>
        <w:tc>
          <w:tcPr>
            <w:tcW w:w="1431" w:type="dxa"/>
          </w:tcPr>
          <w:p w:rsidR="006A3174" w:rsidRPr="00AF0B32" w:rsidRDefault="006A317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F0B32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36.5±2.0 </w:t>
            </w:r>
            <w:r w:rsidRPr="00AF0B32">
              <w:rPr>
                <w:rFonts w:eastAsiaTheme="minorHAnsi" w:cstheme="minorHAnsi"/>
                <w:sz w:val="18"/>
                <w:szCs w:val="18"/>
                <w:vertAlign w:val="superscript"/>
                <w:lang w:val="en-US" w:eastAsia="en-US"/>
              </w:rPr>
              <w:t>E</w:t>
            </w:r>
          </w:p>
        </w:tc>
        <w:tc>
          <w:tcPr>
            <w:tcW w:w="1432" w:type="dxa"/>
          </w:tcPr>
          <w:p w:rsidR="006A3174" w:rsidRPr="00AF0B32" w:rsidRDefault="006A317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F0B32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36.7±2.7 </w:t>
            </w:r>
            <w:r w:rsidRPr="00AF0B32">
              <w:rPr>
                <w:rFonts w:eastAsiaTheme="minorHAnsi" w:cstheme="minorHAnsi"/>
                <w:sz w:val="18"/>
                <w:szCs w:val="18"/>
                <w:vertAlign w:val="superscript"/>
                <w:lang w:val="en-US" w:eastAsia="en-US"/>
              </w:rPr>
              <w:t>E</w:t>
            </w:r>
          </w:p>
        </w:tc>
        <w:tc>
          <w:tcPr>
            <w:tcW w:w="1432" w:type="dxa"/>
          </w:tcPr>
          <w:p w:rsidR="006A3174" w:rsidRPr="00AF0B32" w:rsidRDefault="006A317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F0B32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37.9±2.5 </w:t>
            </w:r>
            <w:r w:rsidRPr="00AF0B32">
              <w:rPr>
                <w:rFonts w:eastAsiaTheme="minorHAnsi" w:cstheme="minorHAnsi"/>
                <w:sz w:val="18"/>
                <w:szCs w:val="18"/>
                <w:vertAlign w:val="superscript"/>
                <w:lang w:val="en-US" w:eastAsia="en-US"/>
              </w:rPr>
              <w:t>E</w:t>
            </w:r>
          </w:p>
        </w:tc>
      </w:tr>
      <w:tr w:rsidR="006A3174" w:rsidRPr="007F2AF2" w:rsidTr="00A755D4">
        <w:trPr>
          <w:trHeight w:hRule="exact" w:val="284"/>
        </w:trPr>
        <w:tc>
          <w:tcPr>
            <w:tcW w:w="2429" w:type="dxa"/>
          </w:tcPr>
          <w:p w:rsidR="006A3174" w:rsidRPr="00AF0B32" w:rsidRDefault="006A317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F0B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2-Aminobutyric acid</w:t>
            </w:r>
          </w:p>
        </w:tc>
        <w:tc>
          <w:tcPr>
            <w:tcW w:w="1432" w:type="dxa"/>
          </w:tcPr>
          <w:p w:rsidR="006A3174" w:rsidRPr="00AF0B32" w:rsidRDefault="006A317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F0B32">
              <w:rPr>
                <w:rFonts w:eastAsiaTheme="minorHAnsi" w:cstheme="minorHAnsi"/>
                <w:sz w:val="18"/>
                <w:szCs w:val="18"/>
                <w:lang w:val="en-US" w:eastAsia="en-US"/>
              </w:rPr>
              <w:t>10.0±0.7</w:t>
            </w:r>
          </w:p>
        </w:tc>
        <w:tc>
          <w:tcPr>
            <w:tcW w:w="1431" w:type="dxa"/>
          </w:tcPr>
          <w:p w:rsidR="006A3174" w:rsidRPr="00AF0B32" w:rsidRDefault="006A317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F0B32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22.0±1.6 </w:t>
            </w:r>
            <w:r w:rsidRPr="00AF0B32">
              <w:rPr>
                <w:rFonts w:eastAsiaTheme="minorHAnsi" w:cstheme="minorHAnsi"/>
                <w:sz w:val="18"/>
                <w:szCs w:val="18"/>
                <w:vertAlign w:val="superscript"/>
                <w:lang w:val="en-US" w:eastAsia="en-US"/>
              </w:rPr>
              <w:t>E,C,P</w:t>
            </w:r>
          </w:p>
        </w:tc>
        <w:tc>
          <w:tcPr>
            <w:tcW w:w="1432" w:type="dxa"/>
          </w:tcPr>
          <w:p w:rsidR="006A3174" w:rsidRPr="00AF0B32" w:rsidRDefault="006A317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F0B32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15.0±0.7 </w:t>
            </w:r>
            <w:r w:rsidRPr="00AF0B32">
              <w:rPr>
                <w:rFonts w:eastAsiaTheme="minorHAnsi" w:cstheme="minorHAnsi"/>
                <w:sz w:val="18"/>
                <w:szCs w:val="18"/>
                <w:vertAlign w:val="superscript"/>
                <w:lang w:val="en-US" w:eastAsia="en-US"/>
              </w:rPr>
              <w:t>E,W,P</w:t>
            </w:r>
          </w:p>
        </w:tc>
        <w:tc>
          <w:tcPr>
            <w:tcW w:w="1432" w:type="dxa"/>
          </w:tcPr>
          <w:p w:rsidR="006A3174" w:rsidRPr="00AF0B32" w:rsidRDefault="006A317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F0B32">
              <w:rPr>
                <w:rFonts w:eastAsiaTheme="minorHAnsi" w:cstheme="minorHAnsi"/>
                <w:sz w:val="18"/>
                <w:szCs w:val="18"/>
                <w:lang w:val="en-US" w:eastAsia="en-US"/>
              </w:rPr>
              <w:t xml:space="preserve">27.0±0.6 </w:t>
            </w:r>
            <w:r w:rsidRPr="00AF0B32">
              <w:rPr>
                <w:rFonts w:eastAsiaTheme="minorHAnsi" w:cstheme="minorHAnsi"/>
                <w:sz w:val="18"/>
                <w:szCs w:val="18"/>
                <w:vertAlign w:val="superscript"/>
                <w:lang w:val="en-US" w:eastAsia="en-US"/>
              </w:rPr>
              <w:t>E,W,P</w:t>
            </w:r>
          </w:p>
        </w:tc>
      </w:tr>
    </w:tbl>
    <w:p w:rsidR="006A3174" w:rsidRPr="006A3174" w:rsidRDefault="006A3174" w:rsidP="006A3174">
      <w:pPr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6A3174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Data are mean ± SEM. Concentrations at exhaustion are means of the three exhaustion tests before the diet intervention (no differences in any of the amino acids between the three tests). Data </w:t>
      </w:r>
      <w:proofErr w:type="gramStart"/>
      <w:r w:rsidRPr="006A3174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are compared</w:t>
      </w:r>
      <w:proofErr w:type="gramEnd"/>
      <w:r w:rsidRPr="006A3174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with ANOVA with LSD as post hoc test. N=</w:t>
      </w:r>
      <w:proofErr w:type="gramStart"/>
      <w:r w:rsidRPr="006A3174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8</w:t>
      </w:r>
      <w:proofErr w:type="gramEnd"/>
      <w:r w:rsidRPr="006A3174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for all data set. E: p&lt;0.05 compared with Exhaustion; C: p&gt;0.05 compared CHO; W: p&lt;0.05 compared to CHO+PROT; P: p&lt;0.05 compared to PLA.</w:t>
      </w:r>
    </w:p>
    <w:p w:rsidR="006A3174" w:rsidRDefault="006A3174" w:rsidP="006A3174">
      <w:pPr>
        <w:rPr>
          <w:rFonts w:eastAsiaTheme="minorHAnsi"/>
          <w:lang w:val="en-US" w:eastAsia="en-US"/>
        </w:rPr>
      </w:pPr>
    </w:p>
    <w:p w:rsidR="00153F55" w:rsidRPr="006A3174" w:rsidRDefault="001F2CB8">
      <w:pPr>
        <w:rPr>
          <w:lang w:val="en-US"/>
        </w:rPr>
      </w:pPr>
    </w:p>
    <w:sectPr w:rsidR="00153F55" w:rsidRPr="006A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10"/>
    <w:rsid w:val="00011D9A"/>
    <w:rsid w:val="001F2CB8"/>
    <w:rsid w:val="002A67E8"/>
    <w:rsid w:val="002E7DA3"/>
    <w:rsid w:val="004B1186"/>
    <w:rsid w:val="006A3174"/>
    <w:rsid w:val="00AF3710"/>
    <w:rsid w:val="00CC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054FE-264E-46FF-905F-5591C68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74"/>
    <w:pPr>
      <w:spacing w:after="200" w:line="276" w:lineRule="auto"/>
    </w:pPr>
    <w:rPr>
      <w:rFonts w:eastAsiaTheme="minorEastAsia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A3174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idrettshøgskole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Jensen</dc:creator>
  <cp:keywords/>
  <dc:description/>
  <cp:lastModifiedBy>Jørgen Jensen</cp:lastModifiedBy>
  <cp:revision>4</cp:revision>
  <dcterms:created xsi:type="dcterms:W3CDTF">2016-04-06T09:35:00Z</dcterms:created>
  <dcterms:modified xsi:type="dcterms:W3CDTF">2016-04-06T10:41:00Z</dcterms:modified>
</cp:coreProperties>
</file>