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32" w:type="dxa"/>
        <w:tblInd w:w="55" w:type="dxa"/>
        <w:tblCellMar>
          <w:left w:w="70" w:type="dxa"/>
          <w:right w:w="70" w:type="dxa"/>
        </w:tblCellMar>
        <w:tblLook w:val="04A0" w:firstRow="1" w:lastRow="0" w:firstColumn="1" w:lastColumn="0" w:noHBand="0" w:noVBand="1"/>
      </w:tblPr>
      <w:tblGrid>
        <w:gridCol w:w="1628"/>
        <w:gridCol w:w="1142"/>
        <w:gridCol w:w="3691"/>
        <w:gridCol w:w="3809"/>
        <w:gridCol w:w="3662"/>
      </w:tblGrid>
      <w:tr w:rsidR="00743B66" w:rsidRPr="000B3FBC" w:rsidTr="00743B66">
        <w:trPr>
          <w:trHeight w:val="288"/>
        </w:trPr>
        <w:tc>
          <w:tcPr>
            <w:tcW w:w="1628" w:type="dxa"/>
            <w:tcBorders>
              <w:top w:val="single" w:sz="8" w:space="0" w:color="auto"/>
              <w:left w:val="nil"/>
              <w:bottom w:val="single" w:sz="8" w:space="0" w:color="auto"/>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b/>
                <w:bCs/>
                <w:color w:val="000000"/>
                <w:sz w:val="14"/>
                <w:szCs w:val="14"/>
                <w:lang w:val="de-DE" w:eastAsia="de-DE"/>
              </w:rPr>
            </w:pPr>
            <w:r w:rsidRPr="000B3FBC">
              <w:rPr>
                <w:rFonts w:ascii="Calibri" w:eastAsia="Times New Roman" w:hAnsi="Calibri" w:cs="Calibri"/>
                <w:b/>
                <w:bCs/>
                <w:color w:val="000000"/>
                <w:sz w:val="14"/>
                <w:szCs w:val="14"/>
                <w:lang w:eastAsia="de-DE"/>
              </w:rPr>
              <w:t>GENE</w:t>
            </w:r>
          </w:p>
        </w:tc>
        <w:tc>
          <w:tcPr>
            <w:tcW w:w="1142" w:type="dxa"/>
            <w:tcBorders>
              <w:top w:val="single" w:sz="8" w:space="0" w:color="auto"/>
              <w:left w:val="nil"/>
              <w:bottom w:val="single" w:sz="8" w:space="0" w:color="auto"/>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b/>
                <w:bCs/>
                <w:color w:val="000000"/>
                <w:sz w:val="14"/>
                <w:szCs w:val="14"/>
                <w:lang w:val="de-DE" w:eastAsia="de-DE"/>
              </w:rPr>
            </w:pPr>
            <w:r w:rsidRPr="000B3FBC">
              <w:rPr>
                <w:rFonts w:ascii="Calibri" w:eastAsia="Times New Roman" w:hAnsi="Calibri" w:cs="Calibri"/>
                <w:b/>
                <w:bCs/>
                <w:color w:val="000000"/>
                <w:sz w:val="14"/>
                <w:szCs w:val="14"/>
                <w:lang w:eastAsia="de-DE"/>
              </w:rPr>
              <w:t>TRANSCRIPT</w:t>
            </w:r>
          </w:p>
        </w:tc>
        <w:tc>
          <w:tcPr>
            <w:tcW w:w="3691" w:type="dxa"/>
            <w:tcBorders>
              <w:top w:val="single" w:sz="8" w:space="0" w:color="auto"/>
              <w:left w:val="nil"/>
              <w:bottom w:val="single" w:sz="8" w:space="0" w:color="auto"/>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b/>
                <w:bCs/>
                <w:color w:val="000000"/>
                <w:sz w:val="14"/>
                <w:szCs w:val="14"/>
                <w:lang w:val="de-DE" w:eastAsia="de-DE"/>
              </w:rPr>
            </w:pPr>
            <w:r w:rsidRPr="000B3FBC">
              <w:rPr>
                <w:rFonts w:ascii="Calibri" w:eastAsia="Times New Roman" w:hAnsi="Calibri" w:cs="Calibri"/>
                <w:b/>
                <w:bCs/>
                <w:color w:val="000000"/>
                <w:sz w:val="14"/>
                <w:szCs w:val="14"/>
                <w:lang w:eastAsia="de-DE"/>
              </w:rPr>
              <w:t>NAME</w:t>
            </w:r>
          </w:p>
        </w:tc>
        <w:tc>
          <w:tcPr>
            <w:tcW w:w="3809" w:type="dxa"/>
            <w:tcBorders>
              <w:top w:val="single" w:sz="8" w:space="0" w:color="auto"/>
              <w:left w:val="nil"/>
              <w:bottom w:val="single" w:sz="8" w:space="0" w:color="auto"/>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b/>
                <w:bCs/>
                <w:color w:val="000000"/>
                <w:sz w:val="14"/>
                <w:szCs w:val="14"/>
                <w:lang w:val="de-DE" w:eastAsia="de-DE"/>
              </w:rPr>
            </w:pPr>
            <w:r w:rsidRPr="000B3FBC">
              <w:rPr>
                <w:rFonts w:ascii="Calibri" w:eastAsia="Times New Roman" w:hAnsi="Calibri" w:cs="Calibri"/>
                <w:b/>
                <w:bCs/>
                <w:color w:val="000000"/>
                <w:sz w:val="14"/>
                <w:szCs w:val="14"/>
                <w:lang w:eastAsia="de-DE"/>
              </w:rPr>
              <w:t>FUNCTION</w:t>
            </w:r>
          </w:p>
        </w:tc>
        <w:tc>
          <w:tcPr>
            <w:tcW w:w="3662" w:type="dxa"/>
            <w:tcBorders>
              <w:top w:val="single" w:sz="8" w:space="0" w:color="auto"/>
              <w:left w:val="nil"/>
              <w:bottom w:val="single" w:sz="8" w:space="0" w:color="auto"/>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b/>
                <w:bCs/>
                <w:color w:val="000000"/>
                <w:sz w:val="14"/>
                <w:szCs w:val="14"/>
                <w:lang w:val="de-DE" w:eastAsia="de-DE"/>
              </w:rPr>
            </w:pPr>
            <w:r w:rsidRPr="000B3FBC">
              <w:rPr>
                <w:rFonts w:ascii="Calibri" w:eastAsia="Times New Roman" w:hAnsi="Calibri" w:cs="Calibri"/>
                <w:b/>
                <w:bCs/>
                <w:color w:val="000000"/>
                <w:sz w:val="14"/>
                <w:szCs w:val="14"/>
                <w:lang w:val="en-GB" w:eastAsia="de-DE"/>
              </w:rPr>
              <w:t>REFERENCES</w:t>
            </w:r>
          </w:p>
        </w:tc>
      </w:tr>
      <w:tr w:rsidR="00743B66" w:rsidRPr="000B3FBC" w:rsidTr="00743B66">
        <w:trPr>
          <w:trHeight w:val="242"/>
        </w:trPr>
        <w:tc>
          <w:tcPr>
            <w:tcW w:w="1628" w:type="dxa"/>
            <w:tcBorders>
              <w:top w:val="single" w:sz="8" w:space="0" w:color="auto"/>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ADAM9</w:t>
            </w:r>
          </w:p>
        </w:tc>
        <w:tc>
          <w:tcPr>
            <w:tcW w:w="1142" w:type="dxa"/>
            <w:tcBorders>
              <w:top w:val="single" w:sz="8" w:space="0" w:color="auto"/>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NM_003816</w:t>
            </w:r>
          </w:p>
        </w:tc>
        <w:tc>
          <w:tcPr>
            <w:tcW w:w="3691" w:type="dxa"/>
            <w:tcBorders>
              <w:top w:val="single" w:sz="8" w:space="0" w:color="auto"/>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ADAM metallopeptidase domain 9</w:t>
            </w:r>
          </w:p>
        </w:tc>
        <w:tc>
          <w:tcPr>
            <w:tcW w:w="3809" w:type="dxa"/>
            <w:tcBorders>
              <w:top w:val="single" w:sz="8" w:space="0" w:color="auto"/>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α-secretase</w:t>
            </w:r>
          </w:p>
        </w:tc>
        <w:tc>
          <w:tcPr>
            <w:tcW w:w="3662" w:type="dxa"/>
            <w:tcBorders>
              <w:top w:val="single" w:sz="8" w:space="0" w:color="auto"/>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1</w:t>
            </w:r>
            <w:r w:rsidRPr="000B3FBC">
              <w:rPr>
                <w:rFonts w:ascii="Calibri" w:eastAsia="Times New Roman" w:hAnsi="Calibri" w:cs="Calibri"/>
                <w:color w:val="000000"/>
                <w:sz w:val="14"/>
                <w:szCs w:val="14"/>
                <w:vertAlign w:val="superscript"/>
                <w:lang w:eastAsia="de-DE"/>
              </w:rPr>
              <w:t>, 2, 3</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ADAM10</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NM_001110</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ADAM metallopeptidase domain 10</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α-secretase</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2</w:t>
            </w:r>
            <w:r w:rsidRPr="000B3FBC">
              <w:rPr>
                <w:rFonts w:ascii="Calibri" w:eastAsia="Times New Roman" w:hAnsi="Calibri" w:cs="Calibri"/>
                <w:color w:val="000000"/>
                <w:sz w:val="14"/>
                <w:szCs w:val="14"/>
                <w:vertAlign w:val="superscript"/>
                <w:lang w:eastAsia="de-DE"/>
              </w:rPr>
              <w:t>, 3, 4,</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ADAM17</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NM_003183</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ADAM metallopeptidase domain 17</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α-secretase</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2</w:t>
            </w:r>
            <w:r w:rsidRPr="000B3FBC">
              <w:rPr>
                <w:rFonts w:ascii="Calibri" w:eastAsia="Times New Roman" w:hAnsi="Calibri" w:cs="Calibri"/>
                <w:color w:val="000000"/>
                <w:sz w:val="14"/>
                <w:szCs w:val="14"/>
                <w:vertAlign w:val="superscript"/>
                <w:lang w:eastAsia="de-DE"/>
              </w:rPr>
              <w:t>, 3,</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BACE1</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NM_012104</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eastAsia="de-DE"/>
              </w:rPr>
            </w:pPr>
            <w:r w:rsidRPr="000B3FBC">
              <w:rPr>
                <w:rFonts w:ascii="Calibri" w:eastAsia="Times New Roman" w:hAnsi="Calibri" w:cs="Calibri"/>
                <w:color w:val="000000"/>
                <w:sz w:val="14"/>
                <w:szCs w:val="14"/>
                <w:lang w:eastAsia="de-DE"/>
              </w:rPr>
              <w:t>ß -site APP-cleaving enzyme 1</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ß-secretase</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5</w:t>
            </w:r>
            <w:r w:rsidRPr="000B3FBC">
              <w:rPr>
                <w:rFonts w:ascii="Calibri" w:eastAsia="Times New Roman" w:hAnsi="Calibri" w:cs="Calibri"/>
                <w:color w:val="000000"/>
                <w:sz w:val="14"/>
                <w:szCs w:val="14"/>
                <w:vertAlign w:val="superscript"/>
                <w:lang w:eastAsia="de-DE"/>
              </w:rPr>
              <w:t>, 6</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BACE2</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noWrap/>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NM_012105</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eastAsia="de-DE"/>
              </w:rPr>
            </w:pPr>
            <w:r w:rsidRPr="000B3FBC">
              <w:rPr>
                <w:rFonts w:ascii="Calibri" w:eastAsia="Times New Roman" w:hAnsi="Calibri" w:cs="Calibri"/>
                <w:color w:val="000000"/>
                <w:sz w:val="14"/>
                <w:szCs w:val="14"/>
                <w:lang w:eastAsia="de-DE"/>
              </w:rPr>
              <w:t>ß -site APP-cleaving enzyme 2</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ß-secretase</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7</w:t>
            </w:r>
            <w:r w:rsidRPr="000B3FBC">
              <w:rPr>
                <w:rFonts w:ascii="Calibri" w:eastAsia="Times New Roman" w:hAnsi="Calibri" w:cs="Calibri"/>
                <w:color w:val="000000"/>
                <w:sz w:val="14"/>
                <w:szCs w:val="14"/>
                <w:vertAlign w:val="superscript"/>
                <w:lang w:eastAsia="de-DE"/>
              </w:rPr>
              <w:t>, 8,</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NCSTN</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NM_015331</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proofErr w:type="spellStart"/>
            <w:r w:rsidRPr="000B3FBC">
              <w:rPr>
                <w:rFonts w:ascii="Calibri" w:eastAsia="Times New Roman" w:hAnsi="Calibri" w:cs="Calibri"/>
                <w:color w:val="000000"/>
                <w:sz w:val="14"/>
                <w:szCs w:val="14"/>
                <w:lang w:eastAsia="de-DE"/>
              </w:rPr>
              <w:t>nicastrin</w:t>
            </w:r>
            <w:proofErr w:type="spellEnd"/>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γ-secretase</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9</w:t>
            </w:r>
            <w:r w:rsidRPr="000B3FBC">
              <w:rPr>
                <w:rFonts w:ascii="Calibri" w:eastAsia="Times New Roman" w:hAnsi="Calibri" w:cs="Calibri"/>
                <w:color w:val="000000"/>
                <w:sz w:val="14"/>
                <w:szCs w:val="14"/>
                <w:vertAlign w:val="superscript"/>
                <w:lang w:eastAsia="de-DE"/>
              </w:rPr>
              <w:t>, 10, 11</w:t>
            </w:r>
          </w:p>
        </w:tc>
      </w:tr>
      <w:tr w:rsidR="00743B66" w:rsidRPr="000B3FBC" w:rsidTr="00743B66">
        <w:trPr>
          <w:trHeight w:val="288"/>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PSENEN (PEN-2)</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NM_172341</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eastAsia="de-DE"/>
              </w:rPr>
            </w:pPr>
            <w:proofErr w:type="spellStart"/>
            <w:r w:rsidRPr="000B3FBC">
              <w:rPr>
                <w:rFonts w:ascii="Calibri" w:eastAsia="Times New Roman" w:hAnsi="Calibri" w:cs="Calibri"/>
                <w:color w:val="000000"/>
                <w:sz w:val="14"/>
                <w:szCs w:val="14"/>
                <w:lang w:eastAsia="de-DE"/>
              </w:rPr>
              <w:t>presenilin</w:t>
            </w:r>
            <w:proofErr w:type="spellEnd"/>
            <w:r w:rsidRPr="000B3FBC">
              <w:rPr>
                <w:rFonts w:ascii="Calibri" w:eastAsia="Times New Roman" w:hAnsi="Calibri" w:cs="Calibri"/>
                <w:color w:val="000000"/>
                <w:sz w:val="14"/>
                <w:szCs w:val="14"/>
                <w:lang w:eastAsia="de-DE"/>
              </w:rPr>
              <w:t xml:space="preserve"> enhancer γ </w:t>
            </w:r>
            <w:proofErr w:type="spellStart"/>
            <w:r w:rsidRPr="000B3FBC">
              <w:rPr>
                <w:rFonts w:ascii="Calibri" w:eastAsia="Times New Roman" w:hAnsi="Calibri" w:cs="Calibri"/>
                <w:color w:val="000000"/>
                <w:sz w:val="14"/>
                <w:szCs w:val="14"/>
                <w:lang w:eastAsia="de-DE"/>
              </w:rPr>
              <w:t>secretase</w:t>
            </w:r>
            <w:proofErr w:type="spellEnd"/>
            <w:r w:rsidRPr="000B3FBC">
              <w:rPr>
                <w:rFonts w:ascii="Calibri" w:eastAsia="Times New Roman" w:hAnsi="Calibri" w:cs="Calibri"/>
                <w:color w:val="000000"/>
                <w:sz w:val="14"/>
                <w:szCs w:val="14"/>
                <w:lang w:eastAsia="de-DE"/>
              </w:rPr>
              <w:t xml:space="preserve"> subunit</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γ-secretase</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11</w:t>
            </w:r>
            <w:r w:rsidRPr="000B3FBC">
              <w:rPr>
                <w:rFonts w:ascii="Calibri" w:eastAsia="Times New Roman" w:hAnsi="Calibri" w:cs="Calibri"/>
                <w:color w:val="000000"/>
                <w:sz w:val="14"/>
                <w:szCs w:val="14"/>
                <w:vertAlign w:val="superscript"/>
                <w:lang w:eastAsia="de-DE"/>
              </w:rPr>
              <w:t>, 12,</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APH1B</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NM_031301</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APH1B γ secretase subunit</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γ-secretase</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11</w:t>
            </w:r>
            <w:r w:rsidRPr="000B3FBC">
              <w:rPr>
                <w:rFonts w:ascii="Calibri" w:eastAsia="Times New Roman" w:hAnsi="Calibri" w:cs="Calibri"/>
                <w:color w:val="000000"/>
                <w:sz w:val="14"/>
                <w:szCs w:val="14"/>
                <w:vertAlign w:val="superscript"/>
                <w:lang w:eastAsia="de-DE"/>
              </w:rPr>
              <w:t>, 13</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APLP1</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val="en-GB" w:eastAsia="de-DE"/>
              </w:rPr>
              <w:t>NM_001024807</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eastAsia="de-DE"/>
              </w:rPr>
            </w:pPr>
            <w:proofErr w:type="spellStart"/>
            <w:r w:rsidRPr="000B3FBC">
              <w:rPr>
                <w:rFonts w:ascii="Calibri" w:eastAsia="Times New Roman" w:hAnsi="Calibri" w:cs="Calibri"/>
                <w:color w:val="000000"/>
                <w:sz w:val="14"/>
                <w:szCs w:val="14"/>
                <w:lang w:eastAsia="de-DE"/>
              </w:rPr>
              <w:t>Aß</w:t>
            </w:r>
            <w:proofErr w:type="spellEnd"/>
            <w:r w:rsidRPr="000B3FBC">
              <w:rPr>
                <w:rFonts w:ascii="Calibri" w:eastAsia="Times New Roman" w:hAnsi="Calibri" w:cs="Calibri"/>
                <w:color w:val="000000"/>
                <w:sz w:val="14"/>
                <w:szCs w:val="14"/>
                <w:lang w:eastAsia="de-DE"/>
              </w:rPr>
              <w:t xml:space="preserve"> (A4) precursor-like protein 1</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eastAsia="de-DE"/>
              </w:rPr>
            </w:pPr>
            <w:r w:rsidRPr="000B3FBC">
              <w:rPr>
                <w:rFonts w:ascii="Calibri" w:eastAsia="Times New Roman" w:hAnsi="Calibri" w:cs="Calibri"/>
                <w:color w:val="000000"/>
                <w:sz w:val="14"/>
                <w:szCs w:val="14"/>
                <w:lang w:eastAsia="de-DE"/>
              </w:rPr>
              <w:t>APP agonist cleaved by secretases</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14</w:t>
            </w:r>
            <w:r w:rsidRPr="000B3FBC">
              <w:rPr>
                <w:rFonts w:ascii="Calibri" w:eastAsia="Times New Roman" w:hAnsi="Calibri" w:cs="Calibri"/>
                <w:color w:val="000000"/>
                <w:sz w:val="14"/>
                <w:szCs w:val="14"/>
                <w:vertAlign w:val="superscript"/>
                <w:lang w:eastAsia="de-DE"/>
              </w:rPr>
              <w:t>, 15</w:t>
            </w:r>
          </w:p>
        </w:tc>
      </w:tr>
      <w:tr w:rsidR="00743B66" w:rsidRPr="000B3FBC" w:rsidTr="00743B66">
        <w:trPr>
          <w:trHeight w:val="288"/>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APBA1 (MINT1, X11A)</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NM_001163</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eastAsia="de-DE"/>
              </w:rPr>
            </w:pPr>
            <w:proofErr w:type="spellStart"/>
            <w:r w:rsidRPr="000B3FBC">
              <w:rPr>
                <w:rFonts w:ascii="Calibri" w:eastAsia="Times New Roman" w:hAnsi="Calibri" w:cs="Calibri"/>
                <w:color w:val="000000"/>
                <w:sz w:val="14"/>
                <w:szCs w:val="14"/>
                <w:lang w:eastAsia="de-DE"/>
              </w:rPr>
              <w:t>Aß</w:t>
            </w:r>
            <w:proofErr w:type="spellEnd"/>
            <w:r w:rsidRPr="000B3FBC">
              <w:rPr>
                <w:rFonts w:ascii="Calibri" w:eastAsia="Times New Roman" w:hAnsi="Calibri" w:cs="Calibri"/>
                <w:color w:val="000000"/>
                <w:sz w:val="14"/>
                <w:szCs w:val="14"/>
                <w:lang w:eastAsia="de-DE"/>
              </w:rPr>
              <w:t xml:space="preserve"> (A4) precursor protein-binding, family A, member 1</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eastAsia="de-DE"/>
              </w:rPr>
            </w:pPr>
            <w:r w:rsidRPr="000B3FBC">
              <w:rPr>
                <w:rFonts w:ascii="Calibri" w:eastAsia="Times New Roman" w:hAnsi="Calibri" w:cs="Calibri"/>
                <w:color w:val="000000"/>
                <w:sz w:val="14"/>
                <w:szCs w:val="14"/>
                <w:lang w:eastAsia="de-DE"/>
              </w:rPr>
              <w:t xml:space="preserve">It stabilizes APP and inhibits production of proteolytic APP fragments including the </w:t>
            </w:r>
            <w:proofErr w:type="spellStart"/>
            <w:r w:rsidRPr="000B3FBC">
              <w:rPr>
                <w:rFonts w:ascii="Calibri" w:eastAsia="Times New Roman" w:hAnsi="Calibri" w:cs="Calibri"/>
                <w:color w:val="000000"/>
                <w:sz w:val="14"/>
                <w:szCs w:val="14"/>
                <w:lang w:eastAsia="de-DE"/>
              </w:rPr>
              <w:t>Aß</w:t>
            </w:r>
            <w:proofErr w:type="spellEnd"/>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16</w:t>
            </w:r>
            <w:r w:rsidRPr="000B3FBC">
              <w:rPr>
                <w:rFonts w:ascii="Calibri" w:eastAsia="Times New Roman" w:hAnsi="Calibri" w:cs="Calibri"/>
                <w:color w:val="000000"/>
                <w:sz w:val="14"/>
                <w:szCs w:val="14"/>
                <w:vertAlign w:val="superscript"/>
                <w:lang w:eastAsia="de-DE"/>
              </w:rPr>
              <w:t>, 17, 18,</w:t>
            </w:r>
          </w:p>
        </w:tc>
      </w:tr>
      <w:tr w:rsidR="00743B66" w:rsidRPr="000B3FBC" w:rsidTr="00743B66">
        <w:trPr>
          <w:trHeight w:val="288"/>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LRRTM3</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NM_178011</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eastAsia="de-DE"/>
              </w:rPr>
            </w:pPr>
            <w:r w:rsidRPr="000B3FBC">
              <w:rPr>
                <w:rFonts w:ascii="Calibri" w:eastAsia="Times New Roman" w:hAnsi="Calibri" w:cs="Calibri"/>
                <w:color w:val="000000"/>
                <w:sz w:val="14"/>
                <w:szCs w:val="14"/>
                <w:lang w:eastAsia="de-DE"/>
              </w:rPr>
              <w:t>leucine rich repeat transmembrane neuronal 3</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proofErr w:type="spellStart"/>
            <w:r w:rsidRPr="000B3FBC">
              <w:rPr>
                <w:rFonts w:ascii="Calibri" w:eastAsia="Times New Roman" w:hAnsi="Calibri" w:cs="Calibri"/>
                <w:color w:val="000000"/>
                <w:sz w:val="14"/>
                <w:szCs w:val="14"/>
                <w:lang w:eastAsia="de-DE"/>
              </w:rPr>
              <w:t>Aß</w:t>
            </w:r>
            <w:proofErr w:type="spellEnd"/>
            <w:r w:rsidRPr="000B3FBC">
              <w:rPr>
                <w:rFonts w:ascii="Calibri" w:eastAsia="Times New Roman" w:hAnsi="Calibri" w:cs="Calibri"/>
                <w:color w:val="000000"/>
                <w:sz w:val="14"/>
                <w:szCs w:val="14"/>
                <w:lang w:eastAsia="de-DE"/>
              </w:rPr>
              <w:t xml:space="preserve">  production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19</w:t>
            </w:r>
            <w:r w:rsidRPr="000B3FBC">
              <w:rPr>
                <w:rFonts w:ascii="Calibri" w:eastAsia="Times New Roman" w:hAnsi="Calibri" w:cs="Calibri"/>
                <w:color w:val="000000"/>
                <w:sz w:val="14"/>
                <w:szCs w:val="14"/>
                <w:vertAlign w:val="superscript"/>
                <w:lang w:eastAsia="de-DE"/>
              </w:rPr>
              <w:t>, 20</w:t>
            </w:r>
          </w:p>
        </w:tc>
      </w:tr>
      <w:tr w:rsidR="00743B66" w:rsidRPr="000B3FBC" w:rsidTr="00743B66">
        <w:trPr>
          <w:trHeight w:val="288"/>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GPR3</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NM_005281</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G-protein coupled receptor 3</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eastAsia="de-DE"/>
              </w:rPr>
            </w:pPr>
            <w:r w:rsidRPr="000B3FBC">
              <w:rPr>
                <w:rFonts w:ascii="Calibri" w:eastAsia="Times New Roman" w:hAnsi="Calibri" w:cs="Calibri"/>
                <w:color w:val="000000"/>
                <w:sz w:val="14"/>
                <w:szCs w:val="14"/>
                <w:lang w:eastAsia="de-DE"/>
              </w:rPr>
              <w:t xml:space="preserve">It activates adenylate cyclase and modulates </w:t>
            </w:r>
            <w:proofErr w:type="spellStart"/>
            <w:r w:rsidRPr="000B3FBC">
              <w:rPr>
                <w:rFonts w:ascii="Calibri" w:eastAsia="Times New Roman" w:hAnsi="Calibri" w:cs="Calibri"/>
                <w:color w:val="000000"/>
                <w:sz w:val="14"/>
                <w:szCs w:val="14"/>
                <w:lang w:eastAsia="de-DE"/>
              </w:rPr>
              <w:t>Aß</w:t>
            </w:r>
            <w:proofErr w:type="spellEnd"/>
            <w:r w:rsidRPr="000B3FBC">
              <w:rPr>
                <w:rFonts w:ascii="Calibri" w:eastAsia="Times New Roman" w:hAnsi="Calibri" w:cs="Calibri"/>
                <w:color w:val="000000"/>
                <w:sz w:val="14"/>
                <w:szCs w:val="14"/>
                <w:lang w:eastAsia="de-DE"/>
              </w:rPr>
              <w:t xml:space="preserve"> production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21</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TTR</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NM_000371</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transthyretin</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proofErr w:type="spellStart"/>
            <w:r w:rsidRPr="000B3FBC">
              <w:rPr>
                <w:rFonts w:ascii="Calibri" w:eastAsia="Times New Roman" w:hAnsi="Calibri" w:cs="Calibri"/>
                <w:color w:val="000000"/>
                <w:sz w:val="14"/>
                <w:szCs w:val="14"/>
                <w:lang w:eastAsia="de-DE"/>
              </w:rPr>
              <w:t>Aß</w:t>
            </w:r>
            <w:proofErr w:type="spellEnd"/>
            <w:r w:rsidRPr="000B3FBC">
              <w:rPr>
                <w:rFonts w:ascii="Calibri" w:eastAsia="Times New Roman" w:hAnsi="Calibri" w:cs="Calibri"/>
                <w:color w:val="000000"/>
                <w:sz w:val="14"/>
                <w:szCs w:val="14"/>
                <w:lang w:eastAsia="de-DE"/>
              </w:rPr>
              <w:t xml:space="preserve"> deposition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22</w:t>
            </w:r>
            <w:r w:rsidRPr="000B3FBC">
              <w:rPr>
                <w:rFonts w:ascii="Calibri" w:eastAsia="Times New Roman" w:hAnsi="Calibri" w:cs="Calibri"/>
                <w:color w:val="000000"/>
                <w:sz w:val="14"/>
                <w:szCs w:val="14"/>
                <w:vertAlign w:val="superscript"/>
                <w:lang w:eastAsia="de-DE"/>
              </w:rPr>
              <w:t>, 23, 24</w:t>
            </w:r>
          </w:p>
        </w:tc>
      </w:tr>
      <w:tr w:rsidR="00743B66" w:rsidRPr="000B3FBC" w:rsidTr="00743B66">
        <w:trPr>
          <w:trHeight w:val="288"/>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SORL1</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NM_003105</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proofErr w:type="spellStart"/>
            <w:r w:rsidRPr="000B3FBC">
              <w:rPr>
                <w:rFonts w:ascii="Calibri" w:eastAsia="Times New Roman" w:hAnsi="Calibri" w:cs="Calibri"/>
                <w:color w:val="000000"/>
                <w:sz w:val="14"/>
                <w:szCs w:val="14"/>
                <w:lang w:eastAsia="de-DE"/>
              </w:rPr>
              <w:t>sortilin</w:t>
            </w:r>
            <w:proofErr w:type="spellEnd"/>
            <w:r w:rsidRPr="000B3FBC">
              <w:rPr>
                <w:rFonts w:ascii="Calibri" w:eastAsia="Times New Roman" w:hAnsi="Calibri" w:cs="Calibri"/>
                <w:color w:val="000000"/>
                <w:sz w:val="14"/>
                <w:szCs w:val="14"/>
                <w:lang w:eastAsia="de-DE"/>
              </w:rPr>
              <w:t>-related receptor</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eastAsia="de-DE"/>
              </w:rPr>
            </w:pPr>
            <w:r w:rsidRPr="000B3FBC">
              <w:rPr>
                <w:rFonts w:ascii="Calibri" w:eastAsia="Times New Roman" w:hAnsi="Calibri" w:cs="Calibri"/>
                <w:color w:val="000000"/>
                <w:sz w:val="14"/>
                <w:szCs w:val="14"/>
                <w:lang w:eastAsia="de-DE"/>
              </w:rPr>
              <w:t>APP recycling and vesicles trafficking</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25</w:t>
            </w:r>
            <w:r w:rsidRPr="000B3FBC">
              <w:rPr>
                <w:rFonts w:ascii="Calibri" w:eastAsia="Times New Roman" w:hAnsi="Calibri" w:cs="Calibri"/>
                <w:color w:val="000000"/>
                <w:sz w:val="14"/>
                <w:szCs w:val="14"/>
                <w:vertAlign w:val="superscript"/>
                <w:lang w:eastAsia="de-DE"/>
              </w:rPr>
              <w:t>, 26, 27, 28, 29, 30, 31, 32, 33, 34</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ECE1</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NM_001397</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endothelin converting enzyme 1</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intracellular degradation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35</w:t>
            </w:r>
            <w:r w:rsidRPr="000B3FBC">
              <w:rPr>
                <w:rFonts w:ascii="Calibri" w:eastAsia="Times New Roman" w:hAnsi="Calibri" w:cs="Calibri"/>
                <w:color w:val="000000"/>
                <w:sz w:val="14"/>
                <w:szCs w:val="14"/>
                <w:vertAlign w:val="superscript"/>
                <w:lang w:eastAsia="de-DE"/>
              </w:rPr>
              <w:t>, 36, 37</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ECE2</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val="en-GB" w:eastAsia="de-DE"/>
              </w:rPr>
              <w:t>NM_014693</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endothelin converting enzyme 2</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intracellular degradation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35</w:t>
            </w:r>
            <w:r w:rsidRPr="000B3FBC">
              <w:rPr>
                <w:rFonts w:ascii="Calibri" w:eastAsia="Times New Roman" w:hAnsi="Calibri" w:cs="Calibri"/>
                <w:color w:val="000000"/>
                <w:sz w:val="14"/>
                <w:szCs w:val="14"/>
                <w:vertAlign w:val="superscript"/>
                <w:lang w:eastAsia="de-DE"/>
              </w:rPr>
              <w:t>, 36,</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IDE</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NM_004969</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insulin-degrading enzyme</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Intracellular and extracellular degradation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38</w:t>
            </w:r>
            <w:r w:rsidRPr="000B3FBC">
              <w:rPr>
                <w:rFonts w:ascii="Calibri" w:eastAsia="Times New Roman" w:hAnsi="Calibri" w:cs="Calibri"/>
                <w:color w:val="000000"/>
                <w:sz w:val="14"/>
                <w:szCs w:val="14"/>
                <w:vertAlign w:val="superscript"/>
                <w:lang w:eastAsia="de-DE"/>
              </w:rPr>
              <w:t>, 39, 40, 41, 42</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CST3</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NM_000099</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cystatin C</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Intracellular and extracellular degradation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43</w:t>
            </w:r>
            <w:r w:rsidRPr="000B3FBC">
              <w:rPr>
                <w:rFonts w:ascii="Calibri" w:eastAsia="Times New Roman" w:hAnsi="Calibri" w:cs="Calibri"/>
                <w:color w:val="000000"/>
                <w:sz w:val="14"/>
                <w:szCs w:val="14"/>
                <w:vertAlign w:val="superscript"/>
                <w:lang w:eastAsia="de-DE"/>
              </w:rPr>
              <w:t>, 44, 45, 46</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CTSB</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val="en-GB" w:eastAsia="de-DE"/>
              </w:rPr>
              <w:t>NM_001908</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proofErr w:type="spellStart"/>
            <w:r w:rsidRPr="000B3FBC">
              <w:rPr>
                <w:rFonts w:ascii="Calibri" w:eastAsia="Times New Roman" w:hAnsi="Calibri" w:cs="Calibri"/>
                <w:color w:val="000000"/>
                <w:sz w:val="14"/>
                <w:szCs w:val="14"/>
                <w:lang w:eastAsia="de-DE"/>
              </w:rPr>
              <w:t>cathepsin</w:t>
            </w:r>
            <w:proofErr w:type="spellEnd"/>
            <w:r w:rsidRPr="000B3FBC">
              <w:rPr>
                <w:rFonts w:ascii="Calibri" w:eastAsia="Times New Roman" w:hAnsi="Calibri" w:cs="Calibri"/>
                <w:color w:val="000000"/>
                <w:sz w:val="14"/>
                <w:szCs w:val="14"/>
                <w:lang w:eastAsia="de-DE"/>
              </w:rPr>
              <w:t xml:space="preserve"> B</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Intracellular and extracellular degradation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43</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CTSD</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NM_001909</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proofErr w:type="spellStart"/>
            <w:r w:rsidRPr="000B3FBC">
              <w:rPr>
                <w:rFonts w:ascii="Calibri" w:eastAsia="Times New Roman" w:hAnsi="Calibri" w:cs="Calibri"/>
                <w:color w:val="000000"/>
                <w:sz w:val="14"/>
                <w:szCs w:val="14"/>
                <w:lang w:eastAsia="de-DE"/>
              </w:rPr>
              <w:t>cathepsin</w:t>
            </w:r>
            <w:proofErr w:type="spellEnd"/>
            <w:r w:rsidRPr="000B3FBC">
              <w:rPr>
                <w:rFonts w:ascii="Calibri" w:eastAsia="Times New Roman" w:hAnsi="Calibri" w:cs="Calibri"/>
                <w:color w:val="000000"/>
                <w:sz w:val="14"/>
                <w:szCs w:val="14"/>
                <w:lang w:eastAsia="de-DE"/>
              </w:rPr>
              <w:t xml:space="preserve"> D</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intracellular degradation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47</w:t>
            </w:r>
            <w:r w:rsidRPr="000B3FBC">
              <w:rPr>
                <w:rFonts w:ascii="Calibri" w:eastAsia="Times New Roman" w:hAnsi="Calibri" w:cs="Calibri"/>
                <w:color w:val="000000"/>
                <w:sz w:val="14"/>
                <w:szCs w:val="14"/>
                <w:vertAlign w:val="superscript"/>
                <w:lang w:eastAsia="de-DE"/>
              </w:rPr>
              <w:t>, 48</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LYZ</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NM_000239</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lysozyme</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intracellular degradation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49</w:t>
            </w:r>
          </w:p>
        </w:tc>
      </w:tr>
      <w:tr w:rsidR="00743B66" w:rsidRPr="000B3FBC" w:rsidTr="00743B66">
        <w:trPr>
          <w:trHeight w:val="288"/>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MME (</w:t>
            </w:r>
            <w:proofErr w:type="spellStart"/>
            <w:r w:rsidRPr="000B3FBC">
              <w:rPr>
                <w:rFonts w:ascii="Calibri" w:eastAsia="Times New Roman" w:hAnsi="Calibri" w:cs="Calibri"/>
                <w:i/>
                <w:iCs/>
                <w:color w:val="000000"/>
                <w:sz w:val="14"/>
                <w:szCs w:val="14"/>
                <w:lang w:eastAsia="de-DE"/>
              </w:rPr>
              <w:t>Neprylisin</w:t>
            </w:r>
            <w:proofErr w:type="spellEnd"/>
            <w:r w:rsidRPr="000B3FBC">
              <w:rPr>
                <w:rFonts w:ascii="Calibri" w:eastAsia="Times New Roman" w:hAnsi="Calibri" w:cs="Calibri"/>
                <w:i/>
                <w:iCs/>
                <w:color w:val="000000"/>
                <w:sz w:val="14"/>
                <w:szCs w:val="14"/>
                <w:lang w:eastAsia="de-DE"/>
              </w:rPr>
              <w:t>)</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val="en-GB" w:eastAsia="de-DE"/>
              </w:rPr>
              <w:t>NM_000902</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 xml:space="preserve">membrane </w:t>
            </w:r>
            <w:proofErr w:type="spellStart"/>
            <w:r w:rsidRPr="000B3FBC">
              <w:rPr>
                <w:rFonts w:ascii="Calibri" w:eastAsia="Times New Roman" w:hAnsi="Calibri" w:cs="Calibri"/>
                <w:color w:val="000000"/>
                <w:sz w:val="14"/>
                <w:szCs w:val="14"/>
                <w:lang w:eastAsia="de-DE"/>
              </w:rPr>
              <w:t>metallo-endopeptidase</w:t>
            </w:r>
            <w:proofErr w:type="spellEnd"/>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extracellular degradation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50</w:t>
            </w:r>
            <w:r w:rsidRPr="000B3FBC">
              <w:rPr>
                <w:rFonts w:ascii="Calibri" w:eastAsia="Times New Roman" w:hAnsi="Calibri" w:cs="Calibri"/>
                <w:color w:val="000000"/>
                <w:sz w:val="14"/>
                <w:szCs w:val="14"/>
                <w:vertAlign w:val="superscript"/>
                <w:lang w:eastAsia="de-DE"/>
              </w:rPr>
              <w:t>, 51, 52, 53, 54</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ACE</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val="en-GB" w:eastAsia="de-DE"/>
              </w:rPr>
              <w:t>NM_000789</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angiotensin I converting enzyme</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extracellular degradation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55</w:t>
            </w:r>
            <w:r w:rsidRPr="000B3FBC">
              <w:rPr>
                <w:rFonts w:ascii="Calibri" w:eastAsia="Times New Roman" w:hAnsi="Calibri" w:cs="Calibri"/>
                <w:color w:val="000000"/>
                <w:sz w:val="14"/>
                <w:szCs w:val="14"/>
                <w:vertAlign w:val="superscript"/>
                <w:lang w:eastAsia="de-DE"/>
              </w:rPr>
              <w:t>, 56, 57</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MMP3</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NM_002422</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matrix metallopeptidase</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extracellular degradation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58</w:t>
            </w:r>
            <w:r w:rsidRPr="000B3FBC">
              <w:rPr>
                <w:rFonts w:ascii="Calibri" w:eastAsia="Times New Roman" w:hAnsi="Calibri" w:cs="Calibri"/>
                <w:color w:val="000000"/>
                <w:sz w:val="14"/>
                <w:szCs w:val="14"/>
                <w:vertAlign w:val="superscript"/>
                <w:lang w:eastAsia="de-DE"/>
              </w:rPr>
              <w:t>, 59, 60, 61</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A2M</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NM_000014</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α-2-macroglobulin</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extracellular degradation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62</w:t>
            </w:r>
            <w:r w:rsidRPr="000B3FBC">
              <w:rPr>
                <w:rFonts w:ascii="Calibri" w:eastAsia="Times New Roman" w:hAnsi="Calibri" w:cs="Calibri"/>
                <w:color w:val="000000"/>
                <w:sz w:val="14"/>
                <w:szCs w:val="14"/>
                <w:vertAlign w:val="superscript"/>
                <w:lang w:eastAsia="de-DE"/>
              </w:rPr>
              <w:t>, 63, 64, 65, 66</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PLAT</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val="en-GB" w:eastAsia="de-DE"/>
              </w:rPr>
              <w:t>NM_000930</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plasminogen activator, tissue</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extracellular degradation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67</w:t>
            </w:r>
            <w:r w:rsidRPr="000B3FBC">
              <w:rPr>
                <w:rFonts w:ascii="Calibri" w:eastAsia="Times New Roman" w:hAnsi="Calibri" w:cs="Calibri"/>
                <w:color w:val="000000"/>
                <w:sz w:val="14"/>
                <w:szCs w:val="14"/>
                <w:vertAlign w:val="superscript"/>
                <w:lang w:eastAsia="de-DE"/>
              </w:rPr>
              <w:t>, 68, 69, 70</w:t>
            </w:r>
          </w:p>
        </w:tc>
      </w:tr>
      <w:tr w:rsidR="00743B66" w:rsidRPr="000B3FBC" w:rsidTr="00743B66">
        <w:trPr>
          <w:trHeight w:val="242"/>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MEP1B</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noWrap/>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val="de-DE" w:eastAsia="de-DE"/>
              </w:rPr>
              <w:t>NM_005925</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proofErr w:type="spellStart"/>
            <w:r w:rsidRPr="000B3FBC">
              <w:rPr>
                <w:rFonts w:ascii="Calibri" w:eastAsia="Times New Roman" w:hAnsi="Calibri" w:cs="Calibri"/>
                <w:color w:val="000000"/>
                <w:sz w:val="14"/>
                <w:szCs w:val="14"/>
                <w:lang w:eastAsia="de-DE"/>
              </w:rPr>
              <w:t>meprin</w:t>
            </w:r>
            <w:proofErr w:type="spellEnd"/>
            <w:r w:rsidRPr="000B3FBC">
              <w:rPr>
                <w:rFonts w:ascii="Calibri" w:eastAsia="Times New Roman" w:hAnsi="Calibri" w:cs="Calibri"/>
                <w:color w:val="000000"/>
                <w:sz w:val="14"/>
                <w:szCs w:val="14"/>
                <w:lang w:eastAsia="de-DE"/>
              </w:rPr>
              <w:t xml:space="preserve"> A, β</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extracellular degradation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71</w:t>
            </w:r>
            <w:r w:rsidRPr="000B3FBC">
              <w:rPr>
                <w:rFonts w:ascii="Calibri" w:eastAsia="Times New Roman" w:hAnsi="Calibri" w:cs="Calibri"/>
                <w:color w:val="000000"/>
                <w:sz w:val="14"/>
                <w:szCs w:val="14"/>
                <w:vertAlign w:val="superscript"/>
                <w:lang w:eastAsia="de-DE"/>
              </w:rPr>
              <w:t>, 72, 73,</w:t>
            </w:r>
          </w:p>
        </w:tc>
      </w:tr>
      <w:tr w:rsidR="00743B66" w:rsidRPr="000B3FBC" w:rsidTr="00743B66">
        <w:trPr>
          <w:trHeight w:val="288"/>
        </w:trPr>
        <w:tc>
          <w:tcPr>
            <w:tcW w:w="1628"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KLK6</w:t>
            </w:r>
          </w:p>
        </w:tc>
        <w:tc>
          <w:tcPr>
            <w:tcW w:w="1142" w:type="dxa"/>
            <w:tcBorders>
              <w:top w:val="single" w:sz="8" w:space="0" w:color="BFBFBF" w:themeColor="background1" w:themeShade="BF"/>
              <w:left w:val="nil"/>
              <w:bottom w:val="single" w:sz="8" w:space="0" w:color="BFBFBF" w:themeColor="background1" w:themeShade="BF"/>
              <w:right w:val="nil"/>
            </w:tcBorders>
            <w:shd w:val="clear" w:color="auto" w:fill="auto"/>
            <w:noWrap/>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val="de-DE" w:eastAsia="de-DE"/>
              </w:rPr>
              <w:t>NM_001012964</w:t>
            </w:r>
          </w:p>
        </w:tc>
        <w:tc>
          <w:tcPr>
            <w:tcW w:w="3691"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proofErr w:type="spellStart"/>
            <w:r w:rsidRPr="000B3FBC">
              <w:rPr>
                <w:rFonts w:ascii="Calibri" w:eastAsia="Times New Roman" w:hAnsi="Calibri" w:cs="Calibri"/>
                <w:color w:val="000000"/>
                <w:sz w:val="14"/>
                <w:szCs w:val="14"/>
                <w:lang w:eastAsia="de-DE"/>
              </w:rPr>
              <w:t>kallikrein</w:t>
            </w:r>
            <w:proofErr w:type="spellEnd"/>
            <w:r w:rsidRPr="000B3FBC">
              <w:rPr>
                <w:rFonts w:ascii="Calibri" w:eastAsia="Times New Roman" w:hAnsi="Calibri" w:cs="Calibri"/>
                <w:color w:val="000000"/>
                <w:sz w:val="14"/>
                <w:szCs w:val="14"/>
                <w:lang w:eastAsia="de-DE"/>
              </w:rPr>
              <w:t xml:space="preserve">-related  peptidase </w:t>
            </w:r>
            <w:proofErr w:type="spellStart"/>
            <w:r w:rsidRPr="000B3FBC">
              <w:rPr>
                <w:rFonts w:ascii="Calibri" w:eastAsia="Times New Roman" w:hAnsi="Calibri" w:cs="Calibri"/>
                <w:color w:val="000000"/>
                <w:sz w:val="14"/>
                <w:szCs w:val="14"/>
                <w:lang w:eastAsia="de-DE"/>
              </w:rPr>
              <w:t>peptidase</w:t>
            </w:r>
            <w:proofErr w:type="spellEnd"/>
            <w:r w:rsidRPr="000B3FBC">
              <w:rPr>
                <w:rFonts w:ascii="Calibri" w:eastAsia="Times New Roman" w:hAnsi="Calibri" w:cs="Calibri"/>
                <w:color w:val="000000"/>
                <w:sz w:val="14"/>
                <w:szCs w:val="14"/>
                <w:lang w:eastAsia="de-DE"/>
              </w:rPr>
              <w:t xml:space="preserve"> 6</w:t>
            </w:r>
          </w:p>
        </w:tc>
        <w:tc>
          <w:tcPr>
            <w:tcW w:w="3809"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extracellular degradation</w:t>
            </w:r>
          </w:p>
        </w:tc>
        <w:tc>
          <w:tcPr>
            <w:tcW w:w="3662" w:type="dxa"/>
            <w:tcBorders>
              <w:top w:val="single" w:sz="8" w:space="0" w:color="BFBFBF" w:themeColor="background1" w:themeShade="BF"/>
              <w:left w:val="nil"/>
              <w:bottom w:val="single" w:sz="8" w:space="0" w:color="BFBFBF" w:themeColor="background1" w:themeShade="BF"/>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74</w:t>
            </w:r>
          </w:p>
        </w:tc>
      </w:tr>
      <w:tr w:rsidR="00743B66" w:rsidRPr="000B3FBC" w:rsidTr="00743B66">
        <w:trPr>
          <w:trHeight w:val="288"/>
        </w:trPr>
        <w:tc>
          <w:tcPr>
            <w:tcW w:w="1628" w:type="dxa"/>
            <w:tcBorders>
              <w:top w:val="single" w:sz="8" w:space="0" w:color="BFBFBF" w:themeColor="background1" w:themeShade="BF"/>
              <w:left w:val="nil"/>
              <w:bottom w:val="single" w:sz="8" w:space="0" w:color="auto"/>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i/>
                <w:iCs/>
                <w:color w:val="000000"/>
                <w:sz w:val="14"/>
                <w:szCs w:val="14"/>
                <w:lang w:val="de-DE" w:eastAsia="de-DE"/>
              </w:rPr>
            </w:pPr>
            <w:r w:rsidRPr="000B3FBC">
              <w:rPr>
                <w:rFonts w:ascii="Calibri" w:eastAsia="Times New Roman" w:hAnsi="Calibri" w:cs="Calibri"/>
                <w:i/>
                <w:iCs/>
                <w:color w:val="000000"/>
                <w:sz w:val="14"/>
                <w:szCs w:val="14"/>
                <w:lang w:eastAsia="de-DE"/>
              </w:rPr>
              <w:t>LRP1</w:t>
            </w:r>
          </w:p>
        </w:tc>
        <w:tc>
          <w:tcPr>
            <w:tcW w:w="1142" w:type="dxa"/>
            <w:tcBorders>
              <w:top w:val="single" w:sz="8" w:space="0" w:color="BFBFBF" w:themeColor="background1" w:themeShade="BF"/>
              <w:left w:val="nil"/>
              <w:bottom w:val="single" w:sz="8" w:space="0" w:color="auto"/>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NM_002332</w:t>
            </w:r>
          </w:p>
        </w:tc>
        <w:tc>
          <w:tcPr>
            <w:tcW w:w="3691" w:type="dxa"/>
            <w:tcBorders>
              <w:top w:val="single" w:sz="8" w:space="0" w:color="BFBFBF" w:themeColor="background1" w:themeShade="BF"/>
              <w:left w:val="nil"/>
              <w:bottom w:val="single" w:sz="8" w:space="0" w:color="auto"/>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eastAsia="de-DE"/>
              </w:rPr>
            </w:pPr>
            <w:r w:rsidRPr="000B3FBC">
              <w:rPr>
                <w:rFonts w:ascii="Calibri" w:eastAsia="Times New Roman" w:hAnsi="Calibri" w:cs="Calibri"/>
                <w:color w:val="000000"/>
                <w:sz w:val="14"/>
                <w:szCs w:val="14"/>
                <w:lang w:eastAsia="de-DE"/>
              </w:rPr>
              <w:t>Low density lipoprotein receptor-related protein 1</w:t>
            </w:r>
          </w:p>
        </w:tc>
        <w:tc>
          <w:tcPr>
            <w:tcW w:w="3809" w:type="dxa"/>
            <w:tcBorders>
              <w:top w:val="single" w:sz="8" w:space="0" w:color="BFBFBF" w:themeColor="background1" w:themeShade="BF"/>
              <w:left w:val="nil"/>
              <w:bottom w:val="single" w:sz="8" w:space="0" w:color="auto"/>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Calibri"/>
                <w:color w:val="000000"/>
                <w:sz w:val="14"/>
                <w:szCs w:val="14"/>
                <w:lang w:eastAsia="de-DE"/>
              </w:rPr>
              <w:t>extracellular clearance</w:t>
            </w:r>
          </w:p>
        </w:tc>
        <w:tc>
          <w:tcPr>
            <w:tcW w:w="3662" w:type="dxa"/>
            <w:tcBorders>
              <w:top w:val="single" w:sz="8" w:space="0" w:color="BFBFBF" w:themeColor="background1" w:themeShade="BF"/>
              <w:left w:val="nil"/>
              <w:bottom w:val="single" w:sz="8" w:space="0" w:color="auto"/>
              <w:right w:val="nil"/>
            </w:tcBorders>
            <w:shd w:val="clear" w:color="auto" w:fill="auto"/>
            <w:vAlign w:val="center"/>
            <w:hideMark/>
          </w:tcPr>
          <w:p w:rsidR="000B3FBC" w:rsidRPr="000B3FBC" w:rsidRDefault="000B3FBC" w:rsidP="000B3FBC">
            <w:pPr>
              <w:spacing w:after="0" w:line="240" w:lineRule="auto"/>
              <w:rPr>
                <w:rFonts w:ascii="Calibri" w:eastAsia="Times New Roman" w:hAnsi="Calibri" w:cs="Calibri"/>
                <w:color w:val="000000"/>
                <w:sz w:val="14"/>
                <w:szCs w:val="14"/>
                <w:lang w:val="de-DE" w:eastAsia="de-DE"/>
              </w:rPr>
            </w:pPr>
            <w:r w:rsidRPr="000B3FBC">
              <w:rPr>
                <w:rFonts w:ascii="Calibri" w:eastAsia="Times New Roman" w:hAnsi="Calibri" w:cs="Times New Roman"/>
                <w:color w:val="000000"/>
                <w:sz w:val="14"/>
                <w:szCs w:val="14"/>
                <w:vertAlign w:val="superscript"/>
                <w:lang w:eastAsia="de-DE"/>
              </w:rPr>
              <w:t>75</w:t>
            </w:r>
            <w:r w:rsidRPr="000B3FBC">
              <w:rPr>
                <w:rFonts w:ascii="Calibri" w:eastAsia="Times New Roman" w:hAnsi="Calibri" w:cs="Calibri"/>
                <w:color w:val="000000"/>
                <w:sz w:val="14"/>
                <w:szCs w:val="14"/>
                <w:vertAlign w:val="superscript"/>
                <w:lang w:eastAsia="de-DE"/>
              </w:rPr>
              <w:t>, 76</w:t>
            </w:r>
          </w:p>
        </w:tc>
      </w:tr>
    </w:tbl>
    <w:p w:rsidR="0035120C" w:rsidRPr="00701EFC" w:rsidRDefault="0035120C">
      <w:pPr>
        <w:rPr>
          <w:sz w:val="20"/>
          <w:szCs w:val="20"/>
        </w:rPr>
      </w:pPr>
    </w:p>
    <w:p w:rsidR="008E2C16" w:rsidRPr="00701EFC" w:rsidRDefault="003566F3" w:rsidP="00237366">
      <w:pPr>
        <w:rPr>
          <w:b/>
          <w:sz w:val="20"/>
          <w:szCs w:val="20"/>
        </w:rPr>
      </w:pPr>
      <w:r w:rsidRPr="00701EFC">
        <w:rPr>
          <w:b/>
          <w:sz w:val="20"/>
          <w:szCs w:val="20"/>
        </w:rPr>
        <w:t>S1</w:t>
      </w:r>
      <w:r>
        <w:rPr>
          <w:b/>
          <w:sz w:val="20"/>
          <w:szCs w:val="20"/>
        </w:rPr>
        <w:t xml:space="preserve"> Table</w:t>
      </w:r>
      <w:r w:rsidR="00237366" w:rsidRPr="00701EFC">
        <w:rPr>
          <w:b/>
          <w:sz w:val="20"/>
          <w:szCs w:val="20"/>
        </w:rPr>
        <w:t>. List of the</w:t>
      </w:r>
      <w:r w:rsidR="008E2C16" w:rsidRPr="00701EFC">
        <w:rPr>
          <w:b/>
          <w:sz w:val="20"/>
          <w:szCs w:val="20"/>
        </w:rPr>
        <w:t xml:space="preserve"> 29 genes selected in our study</w:t>
      </w:r>
    </w:p>
    <w:p w:rsidR="008E2C16" w:rsidRDefault="008E2C16" w:rsidP="008E2C16">
      <w:pPr>
        <w:widowControl w:val="0"/>
        <w:autoSpaceDE w:val="0"/>
        <w:autoSpaceDN w:val="0"/>
        <w:adjustRightInd w:val="0"/>
        <w:spacing w:after="0" w:line="360" w:lineRule="auto"/>
        <w:ind w:right="70"/>
        <w:jc w:val="both"/>
        <w:rPr>
          <w:rFonts w:eastAsiaTheme="majorEastAsia" w:cs="Times New Roman"/>
          <w:b/>
          <w:bCs/>
          <w:sz w:val="24"/>
          <w:szCs w:val="24"/>
        </w:rPr>
        <w:sectPr w:rsidR="008E2C16" w:rsidSect="008E2C1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9" w:footer="709" w:gutter="0"/>
          <w:cols w:space="708"/>
          <w:docGrid w:linePitch="360"/>
        </w:sectPr>
      </w:pPr>
    </w:p>
    <w:p w:rsidR="008E2C16" w:rsidRPr="006D37B2" w:rsidRDefault="008E2C16" w:rsidP="008E2C16">
      <w:pPr>
        <w:widowControl w:val="0"/>
        <w:autoSpaceDE w:val="0"/>
        <w:autoSpaceDN w:val="0"/>
        <w:adjustRightInd w:val="0"/>
        <w:spacing w:after="0" w:line="360" w:lineRule="auto"/>
        <w:ind w:right="70"/>
        <w:jc w:val="both"/>
        <w:rPr>
          <w:rFonts w:eastAsiaTheme="majorEastAsia" w:cs="Times New Roman"/>
          <w:b/>
          <w:bCs/>
          <w:sz w:val="32"/>
          <w:szCs w:val="32"/>
        </w:rPr>
      </w:pPr>
      <w:proofErr w:type="spellStart"/>
      <w:r w:rsidRPr="006D37B2">
        <w:rPr>
          <w:rFonts w:eastAsiaTheme="majorEastAsia" w:cs="Times New Roman"/>
          <w:b/>
          <w:bCs/>
          <w:sz w:val="32"/>
          <w:szCs w:val="32"/>
        </w:rPr>
        <w:lastRenderedPageBreak/>
        <w:t>Bioinformatic</w:t>
      </w:r>
      <w:proofErr w:type="spellEnd"/>
    </w:p>
    <w:p w:rsidR="008E2C16" w:rsidRPr="007A559E" w:rsidRDefault="008E2C16" w:rsidP="008E2C16">
      <w:pPr>
        <w:widowControl w:val="0"/>
        <w:autoSpaceDE w:val="0"/>
        <w:autoSpaceDN w:val="0"/>
        <w:adjustRightInd w:val="0"/>
        <w:spacing w:after="0" w:line="360" w:lineRule="auto"/>
        <w:ind w:right="70"/>
        <w:jc w:val="both"/>
        <w:rPr>
          <w:rFonts w:eastAsiaTheme="minorEastAsia" w:cs="Calibri"/>
          <w:color w:val="000000"/>
          <w:sz w:val="24"/>
          <w:szCs w:val="24"/>
        </w:rPr>
        <w:sectPr w:rsidR="008E2C16" w:rsidRPr="007A559E" w:rsidSect="008E2C16">
          <w:pgSz w:w="11906" w:h="16838"/>
          <w:pgMar w:top="1440" w:right="1440" w:bottom="1440" w:left="1440" w:header="709" w:footer="709" w:gutter="0"/>
          <w:cols w:space="708"/>
          <w:docGrid w:linePitch="360"/>
        </w:sectPr>
      </w:pPr>
      <w:r w:rsidRPr="00B610AE">
        <w:rPr>
          <w:rFonts w:eastAsiaTheme="majorEastAsia" w:cs="Times New Roman"/>
          <w:bCs/>
          <w:sz w:val="24"/>
          <w:szCs w:val="24"/>
        </w:rPr>
        <w:t>Each of the samples in our dataset consisted of paired-end 100 base pair reads. We used the Burrows-Wheeler Aligner (BWA)</w:t>
      </w:r>
      <w:r w:rsidRPr="0074138A">
        <w:rPr>
          <w:rFonts w:eastAsiaTheme="majorEastAsia" w:cs="Times New Roman"/>
          <w:bCs/>
          <w:sz w:val="24"/>
          <w:szCs w:val="24"/>
          <w:highlight w:val="yellow"/>
        </w:rPr>
        <w:fldChar w:fldCharType="begin"/>
      </w:r>
      <w:r>
        <w:rPr>
          <w:rFonts w:eastAsiaTheme="majorEastAsia" w:cs="Times New Roman"/>
          <w:bCs/>
          <w:sz w:val="24"/>
          <w:szCs w:val="24"/>
          <w:highlight w:val="yellow"/>
        </w:rPr>
        <w:instrText xml:space="preserve"> ADDIN ZOTERO_ITEM CSL_CITATION {"citationID":"317r8qjvf","properties":{"formattedCitation":"{\\rtf \\super 77\\nosupersub{}}","plainCitation":"77"},"citationItems":[{"id":552,"uris":["http://zotero.org/users/local/p20pxH9x/items/VCV2ZA9S"],"uri":["http://zotero.org/users/local/p20pxH9x/items/VCV2ZA9S"],"itemData":{"id":552,"type":"article-journal","title":"Fast and accurate short read alignment with Burrows-Wheeler transform","container-title":"Bioinformatics (Oxford, England)","page":"1754-1760","volume":"25","issue":"14","source":"NCBI PubMed","abstract":"MOTIVATION: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individuals.\nRESULTS: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approximately 10-20x faster than MAQ, while achieving similar accuracy. In addition, BWA outputs alignment in the new standard SAM (Sequence Alignment/Map) format. Variant calling and other downstream analyses after the alignment can be achieved with the open source SAMtools software package.\nAVAILABILITY: http://maq.sourceforge.net.","DOI":"10.1093/bioinformatics/btp324","ISSN":"1367-4811","note":"PMID: 19451168","journalAbbreviation":"Bioinformatics","language":"eng","author":[{"family":"Li","given":"Heng"},{"family":"Durbin","given":"Richard"}],"issued":{"date-parts":[["2009",7,15]]},"PMID":"19451168"}}],"schema":"https://github.com/citation-style-language/schema/raw/master/csl-citation.json"} </w:instrText>
      </w:r>
      <w:r w:rsidRPr="0074138A">
        <w:rPr>
          <w:rFonts w:eastAsiaTheme="majorEastAsia" w:cs="Times New Roman"/>
          <w:bCs/>
          <w:sz w:val="24"/>
          <w:szCs w:val="24"/>
          <w:highlight w:val="yellow"/>
        </w:rPr>
        <w:fldChar w:fldCharType="separate"/>
      </w:r>
      <w:r w:rsidRPr="0074138A">
        <w:rPr>
          <w:rFonts w:ascii="Calibri" w:hAnsi="Calibri" w:cs="Times New Roman"/>
          <w:sz w:val="24"/>
          <w:szCs w:val="24"/>
          <w:vertAlign w:val="superscript"/>
        </w:rPr>
        <w:t>77</w:t>
      </w:r>
      <w:r w:rsidRPr="0074138A">
        <w:rPr>
          <w:rFonts w:eastAsiaTheme="majorEastAsia" w:cs="Times New Roman"/>
          <w:bCs/>
          <w:sz w:val="24"/>
          <w:szCs w:val="24"/>
          <w:highlight w:val="yellow"/>
        </w:rPr>
        <w:fldChar w:fldCharType="end"/>
      </w:r>
      <w:r w:rsidRPr="00B610AE">
        <w:rPr>
          <w:rFonts w:eastAsiaTheme="majorEastAsia" w:cs="Times New Roman"/>
          <w:bCs/>
          <w:sz w:val="24"/>
          <w:szCs w:val="24"/>
        </w:rPr>
        <w:t xml:space="preserve"> to map the reads to the human genome (hg19/GRCh37). Following read mapping, we used </w:t>
      </w:r>
      <w:proofErr w:type="spellStart"/>
      <w:r w:rsidRPr="0074138A">
        <w:rPr>
          <w:rFonts w:eastAsiaTheme="majorEastAsia" w:cs="Times New Roman"/>
          <w:bCs/>
          <w:sz w:val="24"/>
          <w:szCs w:val="24"/>
        </w:rPr>
        <w:t>SAMtools</w:t>
      </w:r>
      <w:proofErr w:type="spellEnd"/>
      <w:r w:rsidRPr="0074138A">
        <w:rPr>
          <w:rFonts w:eastAsiaTheme="majorEastAsia" w:cs="Times New Roman"/>
          <w:bCs/>
          <w:sz w:val="24"/>
          <w:szCs w:val="24"/>
        </w:rPr>
        <w:t xml:space="preserve"> </w:t>
      </w:r>
      <w:r w:rsidRPr="0074138A">
        <w:rPr>
          <w:rFonts w:eastAsiaTheme="majorEastAsia" w:cs="Times New Roman"/>
          <w:bCs/>
          <w:sz w:val="24"/>
          <w:szCs w:val="24"/>
        </w:rPr>
        <w:fldChar w:fldCharType="begin"/>
      </w:r>
      <w:r w:rsidRPr="0074138A">
        <w:rPr>
          <w:rFonts w:eastAsiaTheme="majorEastAsia" w:cs="Times New Roman"/>
          <w:bCs/>
          <w:sz w:val="24"/>
          <w:szCs w:val="24"/>
        </w:rPr>
        <w:instrText xml:space="preserve"> ADDIN ZOTERO_ITEM CSL_CITATION {"citationID":"vmkfnkdra","properties":{"formattedCitation":"{\\rtf \\super 78\\nosupersub{}}","plainCitation":"78"},"citationItems":[{"id":1095,"uris":["http://zotero.org/users/local/p20pxH9x/items/UGCPW7F4"],"uri":["http://zotero.org/users/local/p20pxH9x/items/UGCPW7F4"],"itemData":{"id":1095,"type":"article-journal","title":"The Sequence Alignment/Map format and SAMtools","container-title":"Bioinformatics (Oxford, England)","page":"2078-2079","volume":"25","issue":"16","source":"NCBI PubMed","abstract":"SUMMARY: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alignments.\nAVAILABILITY: http://samtools.sourceforge.net.","DOI":"10.1093/bioinformatics/btp352","ISSN":"1367-4811","note":"PMID: 19505943 \nPMCID: PMC2723002","journalAbbreviation":"Bioinformatics","language":"eng","author":[{"family":"Li","given":"Heng"},{"family":"Handsaker","given":"Bob"},{"family":"Wysoker","given":"Alec"},{"family":"Fennell","given":"Tim"},{"family":"Ruan","given":"Jue"},{"family":"Homer","given":"Nils"},{"family":"Marth","given":"Gabor"},{"family":"Abecasis","given":"Goncalo"},{"family":"Durbin","given":"Richard"},{"family":"1000 Genome Project Data Processing Subgroup","given":""}],"issued":{"date-parts":[["2009",8,15]]},"PMID":"19505943","PMCID":"PMC2723002"}}],"schema":"https://github.com/citation-style-language/schema/raw/master/csl-citation.json"} </w:instrText>
      </w:r>
      <w:r w:rsidRPr="0074138A">
        <w:rPr>
          <w:rFonts w:eastAsiaTheme="majorEastAsia" w:cs="Times New Roman"/>
          <w:bCs/>
          <w:sz w:val="24"/>
          <w:szCs w:val="24"/>
        </w:rPr>
        <w:fldChar w:fldCharType="separate"/>
      </w:r>
      <w:r w:rsidRPr="0074138A">
        <w:rPr>
          <w:rFonts w:ascii="Calibri" w:hAnsi="Calibri" w:cs="Times New Roman"/>
          <w:sz w:val="24"/>
          <w:szCs w:val="24"/>
          <w:vertAlign w:val="superscript"/>
        </w:rPr>
        <w:t>78</w:t>
      </w:r>
      <w:r w:rsidRPr="0074138A">
        <w:rPr>
          <w:rFonts w:eastAsiaTheme="majorEastAsia" w:cs="Times New Roman"/>
          <w:bCs/>
          <w:sz w:val="24"/>
          <w:szCs w:val="24"/>
        </w:rPr>
        <w:fldChar w:fldCharType="end"/>
      </w:r>
      <w:r w:rsidRPr="0074138A">
        <w:rPr>
          <w:rFonts w:eastAsiaTheme="majorEastAsia" w:cs="Times New Roman"/>
          <w:bCs/>
          <w:sz w:val="24"/>
          <w:szCs w:val="24"/>
        </w:rPr>
        <w:t>, Picard (</w:t>
      </w:r>
      <w:hyperlink r:id="rId13" w:history="1">
        <w:r w:rsidRPr="0074138A">
          <w:rPr>
            <w:rFonts w:cs="Times New Roman"/>
            <w:noProof/>
            <w:sz w:val="24"/>
            <w:szCs w:val="24"/>
          </w:rPr>
          <w:t>http://picard.sourceforge.net</w:t>
        </w:r>
      </w:hyperlink>
      <w:r w:rsidRPr="0074138A">
        <w:rPr>
          <w:rFonts w:cs="Times New Roman"/>
          <w:noProof/>
          <w:sz w:val="24"/>
          <w:szCs w:val="24"/>
        </w:rPr>
        <w:t>)</w:t>
      </w:r>
      <w:r w:rsidRPr="0074138A">
        <w:rPr>
          <w:rFonts w:eastAsiaTheme="majorEastAsia" w:cs="Times New Roman"/>
          <w:bCs/>
          <w:sz w:val="24"/>
          <w:szCs w:val="24"/>
        </w:rPr>
        <w:t xml:space="preserve">, and the Genome Analysis Toolkit (GATK) </w:t>
      </w:r>
      <w:r w:rsidRPr="0074138A">
        <w:rPr>
          <w:rFonts w:eastAsiaTheme="majorEastAsia" w:cs="Times New Roman"/>
          <w:bCs/>
          <w:sz w:val="24"/>
          <w:szCs w:val="24"/>
        </w:rPr>
        <w:fldChar w:fldCharType="begin"/>
      </w:r>
      <w:r w:rsidRPr="0074138A">
        <w:rPr>
          <w:rFonts w:eastAsiaTheme="majorEastAsia" w:cs="Times New Roman"/>
          <w:bCs/>
          <w:sz w:val="24"/>
          <w:szCs w:val="24"/>
        </w:rPr>
        <w:instrText xml:space="preserve"> ADDIN ZOTERO_ITEM CSL_CITATION {"citationID":"8vg7rd1f","properties":{"formattedCitation":"{\\rtf \\super 79\\nosupersub{}}","plainCitation":"79"},"citationItems":[{"id":1101,"uris":["http://zotero.org/users/local/p20pxH9x/items/KN64ES9N"],"uri":["http://zotero.org/users/local/p20pxH9x/items/KN64ES9N"],"itemData":{"id":1101,"type":"article-journal","title":"A framework for variation discovery and genotyping using next-generation DNA sequencing data","container-title":"Nature genetics","page":"491-498","volume":"43","issue":"5","source":"NCBI PubMed","abstract":"Recent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w:instrText>
      </w:r>
      <w:r w:rsidRPr="0074138A">
        <w:rPr>
          <w:rFonts w:ascii="Cambria Math" w:eastAsiaTheme="majorEastAsia" w:hAnsi="Cambria Math" w:cs="Cambria Math"/>
          <w:bCs/>
          <w:sz w:val="24"/>
          <w:szCs w:val="24"/>
        </w:rPr>
        <w:instrText>∼</w:instrText>
      </w:r>
      <w:r w:rsidRPr="0074138A">
        <w:rPr>
          <w:rFonts w:eastAsiaTheme="majorEastAsia" w:cs="Times New Roman"/>
          <w:bCs/>
          <w:sz w:val="24"/>
          <w:szCs w:val="24"/>
        </w:rPr>
        <w:instrText>4</w:instrText>
      </w:r>
      <w:r w:rsidRPr="0074138A">
        <w:rPr>
          <w:rFonts w:ascii="Calibri" w:eastAsiaTheme="majorEastAsia" w:hAnsi="Calibri" w:cs="Calibri"/>
          <w:bCs/>
          <w:sz w:val="24"/>
          <w:szCs w:val="24"/>
        </w:rPr>
        <w:instrText>×</w:instrText>
      </w:r>
      <w:r w:rsidRPr="0074138A">
        <w:rPr>
          <w:rFonts w:eastAsiaTheme="majorEastAsia" w:cs="Times New Roman"/>
          <w:bCs/>
          <w:sz w:val="24"/>
          <w:szCs w:val="24"/>
        </w:rPr>
        <w:instrText xml:space="preserve">) 1000 Genomes Project datasets.","DOI":"10.1038/ng.806","ISSN":"1546-1718","note":"PMID: 21478889 \nPMCID: PMC3083463","journalAbbreviation":"Nat. Genet.","language":"eng","author":[{"family":"DePristo","given":"Mark A"},{"family":"Banks","given":"Eric"},{"family":"Poplin","given":"Ryan"},{"family":"Garimella","given":"Kiran V"},{"family":"Maguire","given":"Jared R"},{"family":"Hartl","given":"Christopher"},{"family":"Philippakis","given":"Anthony A"},{"family":"del Angel","given":"Guillermo"},{"family":"Rivas","given":"Manuel A"},{"family":"Hanna","given":"Matt"},{"family":"McKenna","given":"Aaron"},{"family":"Fennell","given":"Tim J"},{"family":"Kernytsky","given":"Andrew M"},{"family":"Sivachenko","given":"Andrey Y"},{"family":"Cibulskis","given":"Kristian"},{"family":"Gabriel","given":"Stacey B"},{"family":"Altshuler","given":"David"},{"family":"Daly","given":"Mark J"}],"issued":{"date-parts":[["2011",5]]},"PMID":"21478889","PMCID":"PMC3083463"}}],"schema":"https://github.com/citation-style-language/schema/raw/master/csl-citation.json"} </w:instrText>
      </w:r>
      <w:r w:rsidRPr="0074138A">
        <w:rPr>
          <w:rFonts w:eastAsiaTheme="majorEastAsia" w:cs="Times New Roman"/>
          <w:bCs/>
          <w:sz w:val="24"/>
          <w:szCs w:val="24"/>
        </w:rPr>
        <w:fldChar w:fldCharType="separate"/>
      </w:r>
      <w:r w:rsidRPr="0074138A">
        <w:rPr>
          <w:rFonts w:ascii="Calibri" w:hAnsi="Calibri" w:cs="Times New Roman"/>
          <w:sz w:val="24"/>
          <w:szCs w:val="24"/>
          <w:vertAlign w:val="superscript"/>
        </w:rPr>
        <w:t>79</w:t>
      </w:r>
      <w:r w:rsidRPr="0074138A">
        <w:rPr>
          <w:rFonts w:eastAsiaTheme="majorEastAsia" w:cs="Times New Roman"/>
          <w:bCs/>
          <w:sz w:val="24"/>
          <w:szCs w:val="24"/>
        </w:rPr>
        <w:fldChar w:fldCharType="end"/>
      </w:r>
      <w:r w:rsidRPr="0074138A">
        <w:rPr>
          <w:rFonts w:eastAsiaTheme="majorEastAsia" w:cs="Times New Roman"/>
          <w:bCs/>
          <w:sz w:val="24"/>
          <w:szCs w:val="24"/>
          <w:vertAlign w:val="superscript"/>
        </w:rPr>
        <w:t>,</w:t>
      </w:r>
      <w:r w:rsidRPr="0074138A">
        <w:rPr>
          <w:rFonts w:eastAsiaTheme="majorEastAsia" w:cs="Times New Roman"/>
          <w:bCs/>
          <w:sz w:val="24"/>
          <w:szCs w:val="24"/>
        </w:rPr>
        <w:fldChar w:fldCharType="begin"/>
      </w:r>
      <w:r w:rsidRPr="0074138A">
        <w:rPr>
          <w:rFonts w:eastAsiaTheme="majorEastAsia" w:cs="Times New Roman"/>
          <w:bCs/>
          <w:sz w:val="24"/>
          <w:szCs w:val="24"/>
        </w:rPr>
        <w:instrText xml:space="preserve"> ADDIN ZOTERO_ITEM CSL_CITATION {"citationID":"1n60d1m1su","properties":{"formattedCitation":"{\\rtf \\super 80\\nosupersub{}}","plainCitation":"80"},"citationItems":[{"id":554,"uris":["http://zotero.org/users/local/p20pxH9x/items/4I3UBRBV"],"uri":["http://zotero.org/users/local/p20pxH9x/items/4I3UBRBV"],"itemData":{"id":554,"type":"article-journal","title":"The Genome Analysis Toolkit: a MapReduce framework for analyzing next-generation DNA sequencing data","container-title":"Genome research","page":"1297-1303","volume":"20","issue":"9","source":"NCBI PubMed","abstract":"Next-generation DNA sequencing (NGS) projects, such as the 1000 Genomes Project, are already revolutionizing our understanding of genetic variation among individuals. However, the massive data sets generated by NGS--the 1000 Genome pilot alone includes nearly five terabases--make writing feature-rich, efficient, and robust analysis tools difficult for even computationally sophisticated individuals. Indeed, many professionals are limited in the scope and the ease with which they can answer scientific questions by the complexity of accessing and manipulating the data produced by these machines. Here, we discuss our Genome Analysis Toolkit (GATK), a structured programming framework designed to ease the development of efficient and robust analysis tools for next-generation DNA sequencers using the functional programming philosophy of MapReduce. The GATK provides a small but rich set of data access patterns that encompass the majority of analysis tool needs. Separating specific analysis calculations from common data management infrastructure enables us to optimize the GATK framework for correctness, stability, and CPU and memory efficiency and to enable distributed and shared memory parallelization. We highlight the capabilities of the GATK by describing the implementation and application of robust, scale-tolerant tools like coverage calculators and single nucleotide polymorphism (SNP) calling. We conclude that the GATK programming framework enables developers and analysts to quickly and easily write efficient and robust NGS tools, many of which have already been incorporated into large-scale sequencing projects like the 1000 Genomes Project and The Cancer Genome Atlas.","DOI":"10.1101/gr.107524.110","ISSN":"1549-5469","note":"PMID: 20644199","shortTitle":"The Genome Analysis Toolkit","journalAbbreviation":"Genome Res.","language":"eng","author":[{"family":"McKenna","given":"Aaron"},{"family":"Hanna","given":"Matthew"},{"family":"Banks","given":"Eric"},{"family":"Sivachenko","given":"Andrey"},{"family":"Cibulskis","given":"Kristian"},{"family":"Kernytsky","given":"Andrew"},{"family":"Garimella","given":"Kiran"},{"family":"Altshuler","given":"David"},{"family":"Gabriel","given":"Stacey"},{"family":"Daly","given":"Mark"},{"family":"DePristo","given":"Mark A"}],"issued":{"date-parts":[["2010",9]]},"PMID":"20644199"}}],"schema":"https://github.com/citation-style-language/schema/raw/master/csl-citation.json"} </w:instrText>
      </w:r>
      <w:r w:rsidRPr="0074138A">
        <w:rPr>
          <w:rFonts w:eastAsiaTheme="majorEastAsia" w:cs="Times New Roman"/>
          <w:bCs/>
          <w:sz w:val="24"/>
          <w:szCs w:val="24"/>
        </w:rPr>
        <w:fldChar w:fldCharType="separate"/>
      </w:r>
      <w:r w:rsidRPr="0074138A">
        <w:rPr>
          <w:rFonts w:ascii="Calibri" w:hAnsi="Calibri" w:cs="Times New Roman"/>
          <w:sz w:val="24"/>
          <w:szCs w:val="24"/>
          <w:vertAlign w:val="superscript"/>
        </w:rPr>
        <w:t>80</w:t>
      </w:r>
      <w:r w:rsidRPr="0074138A">
        <w:rPr>
          <w:rFonts w:eastAsiaTheme="majorEastAsia" w:cs="Times New Roman"/>
          <w:bCs/>
          <w:sz w:val="24"/>
          <w:szCs w:val="24"/>
        </w:rPr>
        <w:fldChar w:fldCharType="end"/>
      </w:r>
      <w:r w:rsidRPr="00B610AE">
        <w:rPr>
          <w:rFonts w:eastAsiaTheme="majorEastAsia" w:cs="Times New Roman"/>
          <w:bCs/>
          <w:sz w:val="24"/>
          <w:szCs w:val="24"/>
        </w:rPr>
        <w:t xml:space="preserve"> to refine the resulting alignments by removing duplicates, performing realignment around </w:t>
      </w:r>
      <w:proofErr w:type="spellStart"/>
      <w:r w:rsidRPr="00B610AE">
        <w:rPr>
          <w:rFonts w:eastAsiaTheme="majorEastAsia" w:cs="Times New Roman"/>
          <w:bCs/>
          <w:sz w:val="24"/>
          <w:szCs w:val="24"/>
        </w:rPr>
        <w:t>InDels</w:t>
      </w:r>
      <w:proofErr w:type="spellEnd"/>
      <w:r w:rsidRPr="00B610AE">
        <w:rPr>
          <w:rFonts w:eastAsiaTheme="majorEastAsia" w:cs="Times New Roman"/>
          <w:bCs/>
          <w:sz w:val="24"/>
          <w:szCs w:val="24"/>
        </w:rPr>
        <w:t xml:space="preserve">, and recalibrating base quality scores. We then used the GATK’s </w:t>
      </w:r>
      <w:proofErr w:type="spellStart"/>
      <w:r w:rsidRPr="00B610AE">
        <w:rPr>
          <w:rFonts w:eastAsiaTheme="majorEastAsia" w:cs="Times New Roman"/>
          <w:bCs/>
          <w:sz w:val="24"/>
          <w:szCs w:val="24"/>
        </w:rPr>
        <w:t>UnifiedGenotyper</w:t>
      </w:r>
      <w:proofErr w:type="spellEnd"/>
      <w:r w:rsidRPr="00B610AE">
        <w:rPr>
          <w:rFonts w:eastAsiaTheme="majorEastAsia" w:cs="Times New Roman"/>
          <w:bCs/>
          <w:sz w:val="24"/>
          <w:szCs w:val="24"/>
        </w:rPr>
        <w:t xml:space="preserve"> to identify sequence variants, and subsequently filtered the variants and recalibrated variant quality scores </w:t>
      </w:r>
      <w:r w:rsidRPr="00B610AE">
        <w:rPr>
          <w:rFonts w:eastAsiaTheme="majorEastAsia" w:cs="Times New Roman"/>
          <w:bCs/>
          <w:sz w:val="24"/>
          <w:szCs w:val="24"/>
        </w:rPr>
        <w:fldChar w:fldCharType="begin"/>
      </w:r>
      <w:r>
        <w:rPr>
          <w:rFonts w:eastAsiaTheme="majorEastAsia" w:cs="Times New Roman"/>
          <w:bCs/>
          <w:sz w:val="24"/>
          <w:szCs w:val="24"/>
        </w:rPr>
        <w:instrText xml:space="preserve"> ADDIN ZOTERO_ITEM CSL_CITATION {"citationID":"l8ik37oed","properties":{"formattedCitation":"{\\rtf \\super 79\\nosupersub{}}","plainCitation":"79"},"citationItems":[{"id":1101,"uris":["http://zotero.org/users/local/p20pxH9x/items/KN64ES9N"],"uri":["http://zotero.org/users/local/p20pxH9x/items/KN64ES9N"],"itemData":{"id":1101,"type":"article-journal","title":"A framework for variation discovery and genotyping using next-generation DNA sequencing data","container-title":"Nature genetics","page":"491-498","volume":"43","issue":"5","source":"NCBI PubMed","abstract":"Recent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w:instrText>
      </w:r>
      <w:r>
        <w:rPr>
          <w:rFonts w:ascii="Cambria Math" w:eastAsiaTheme="majorEastAsia" w:hAnsi="Cambria Math" w:cs="Cambria Math"/>
          <w:bCs/>
          <w:sz w:val="24"/>
          <w:szCs w:val="24"/>
        </w:rPr>
        <w:instrText>∼</w:instrText>
      </w:r>
      <w:r>
        <w:rPr>
          <w:rFonts w:eastAsiaTheme="majorEastAsia" w:cs="Times New Roman"/>
          <w:bCs/>
          <w:sz w:val="24"/>
          <w:szCs w:val="24"/>
        </w:rPr>
        <w:instrText>4</w:instrText>
      </w:r>
      <w:r>
        <w:rPr>
          <w:rFonts w:ascii="Calibri" w:eastAsiaTheme="majorEastAsia" w:hAnsi="Calibri" w:cs="Calibri"/>
          <w:bCs/>
          <w:sz w:val="24"/>
          <w:szCs w:val="24"/>
        </w:rPr>
        <w:instrText>×</w:instrText>
      </w:r>
      <w:r>
        <w:rPr>
          <w:rFonts w:eastAsiaTheme="majorEastAsia" w:cs="Times New Roman"/>
          <w:bCs/>
          <w:sz w:val="24"/>
          <w:szCs w:val="24"/>
        </w:rPr>
        <w:instrText xml:space="preserve">) 1000 Genomes Project datasets.","DOI":"10.1038/ng.806","ISSN":"1546-1718","note":"PMID: 21478889 \nPMCID: PMC3083463","journalAbbreviation":"Nat. Genet.","language":"eng","author":[{"family":"DePristo","given":"Mark A"},{"family":"Banks","given":"Eric"},{"family":"Poplin","given":"Ryan"},{"family":"Garimella","given":"Kiran V"},{"family":"Maguire","given":"Jared R"},{"family":"Hartl","given":"Christopher"},{"family":"Philippakis","given":"Anthony A"},{"family":"del Angel","given":"Guillermo"},{"family":"Rivas","given":"Manuel A"},{"family":"Hanna","given":"Matt"},{"family":"McKenna","given":"Aaron"},{"family":"Fennell","given":"Tim J"},{"family":"Kernytsky","given":"Andrew M"},{"family":"Sivachenko","given":"Andrey Y"},{"family":"Cibulskis","given":"Kristian"},{"family":"Gabriel","given":"Stacey B"},{"family":"Altshuler","given":"David"},{"family":"Daly","given":"Mark J"}],"issued":{"date-parts":[["2011",5]]},"PMID":"21478889","PMCID":"PMC3083463"}}],"schema":"https://github.com/citation-style-language/schema/raw/master/csl-citation.json"} </w:instrText>
      </w:r>
      <w:r w:rsidRPr="00B610AE">
        <w:rPr>
          <w:rFonts w:eastAsiaTheme="majorEastAsia" w:cs="Times New Roman"/>
          <w:bCs/>
          <w:sz w:val="24"/>
          <w:szCs w:val="24"/>
        </w:rPr>
        <w:fldChar w:fldCharType="separate"/>
      </w:r>
      <w:r w:rsidRPr="0074138A">
        <w:rPr>
          <w:rFonts w:ascii="Calibri" w:hAnsi="Calibri" w:cs="Times New Roman"/>
          <w:sz w:val="24"/>
          <w:szCs w:val="24"/>
          <w:vertAlign w:val="superscript"/>
        </w:rPr>
        <w:t>79</w:t>
      </w:r>
      <w:r w:rsidRPr="00B610AE">
        <w:rPr>
          <w:rFonts w:eastAsiaTheme="majorEastAsia" w:cs="Times New Roman"/>
          <w:bCs/>
          <w:sz w:val="24"/>
          <w:szCs w:val="24"/>
        </w:rPr>
        <w:fldChar w:fldCharType="end"/>
      </w:r>
      <w:r w:rsidRPr="00B610AE">
        <w:rPr>
          <w:rFonts w:eastAsiaTheme="majorEastAsia" w:cs="Times New Roman"/>
          <w:bCs/>
          <w:sz w:val="24"/>
          <w:szCs w:val="24"/>
        </w:rPr>
        <w:t>. Our final dataset consisted of variant call format (VCF) files containing variants that passed all filters. Since our dataset consisted of a mix of exomes captured using different kits, and whole genome sequences, we employed a highly conservative approach to variant selection to increase our confidence that analyzed variants are true positives. We limited our dataset of variants to only those genomic regions we expected to have been sequenced in each of the exomes (based on capture probes used for exome library preparation) and whole genomes. Next, we compiled a list of all the variants present in at least a single sample. We examined each of the variants from the list of total variants in each sample, whether or not the variant was called by the GATK, and reassigned the genotype for that variant acco</w:t>
      </w:r>
      <w:r>
        <w:rPr>
          <w:rFonts w:eastAsiaTheme="majorEastAsia" w:cs="Times New Roman"/>
          <w:bCs/>
          <w:sz w:val="24"/>
          <w:szCs w:val="24"/>
        </w:rPr>
        <w:t xml:space="preserve">rding to the following criteria: </w:t>
      </w:r>
      <w:r w:rsidRPr="00B610AE">
        <w:rPr>
          <w:rFonts w:eastAsiaTheme="majorEastAsia" w:cs="Times New Roman"/>
          <w:bCs/>
          <w:sz w:val="24"/>
          <w:szCs w:val="24"/>
        </w:rPr>
        <w:t>1) If the variant was called by the GATK and passed all filt</w:t>
      </w:r>
      <w:r>
        <w:rPr>
          <w:rFonts w:eastAsiaTheme="majorEastAsia" w:cs="Times New Roman"/>
          <w:bCs/>
          <w:sz w:val="24"/>
          <w:szCs w:val="24"/>
        </w:rPr>
        <w:t xml:space="preserve">ers, we used the GATK genotype; </w:t>
      </w:r>
      <w:r w:rsidRPr="00B610AE">
        <w:rPr>
          <w:rFonts w:eastAsiaTheme="majorEastAsia" w:cs="Times New Roman"/>
          <w:bCs/>
          <w:sz w:val="24"/>
          <w:szCs w:val="24"/>
        </w:rPr>
        <w:t xml:space="preserve">2) If no variant was called at the genomic position in question, we returned to the raw VCF file and if there were reads containing the variant, but the variant was not called because of failing filters or because only a small number of reads contain the variant, we set the genotype to missing for </w:t>
      </w:r>
      <w:r>
        <w:rPr>
          <w:rFonts w:eastAsiaTheme="majorEastAsia" w:cs="Times New Roman"/>
          <w:bCs/>
          <w:sz w:val="24"/>
          <w:szCs w:val="24"/>
        </w:rPr>
        <w:t xml:space="preserve">the sample and </w:t>
      </w:r>
      <w:r w:rsidRPr="00B610AE">
        <w:rPr>
          <w:rFonts w:eastAsiaTheme="majorEastAsia" w:cs="Times New Roman"/>
          <w:bCs/>
          <w:sz w:val="24"/>
          <w:szCs w:val="24"/>
        </w:rPr>
        <w:t xml:space="preserve">3) if all the reads at this position for the sample indicated reference alleles, we set the genotype to homozygous reference. Resulting sequence files were converted to Plink format </w:t>
      </w:r>
      <w:r w:rsidRPr="00B610AE">
        <w:rPr>
          <w:rFonts w:eastAsiaTheme="majorEastAsia" w:cs="Times New Roman"/>
          <w:bCs/>
          <w:sz w:val="24"/>
          <w:szCs w:val="24"/>
        </w:rPr>
        <w:fldChar w:fldCharType="begin"/>
      </w:r>
      <w:r>
        <w:rPr>
          <w:rFonts w:eastAsiaTheme="majorEastAsia" w:cs="Times New Roman"/>
          <w:bCs/>
          <w:sz w:val="24"/>
          <w:szCs w:val="24"/>
        </w:rPr>
        <w:instrText xml:space="preserve"> ADDIN ZOTERO_ITEM CSL_CITATION {"citationID":"1njmpq3bma","properties":{"formattedCitation":"{\\rtf \\super 81\\nosupersub{}}","plainCitation":"81"},"citationItems":[{"id":1107,"uris":["http://zotero.org/users/local/p20pxH9x/items/FSEGP2V6"],"uri":["http://zotero.org/users/local/p20pxH9x/items/FSEGP2V6"],"itemData":{"id":1107,"type":"article-journal","title":"PLINK: a tool set for whole-genome association and population-based linkage analyses","container-title":"American journal of human genetics","page":"559-575","volume":"81","issue":"3","source":"NCBI PubMed","abstract":"Whole-genome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analysis.","DOI":"10.1086/519795","ISSN":"0002-9297","note":"PMID: 17701901 \nPMCID: PMC1950838","shortTitle":"PLINK","journalAbbreviation":"Am. J. Hum. Genet.","language":"eng","author":[{"family":"Purcell","given":"Shaun"},{"family":"Neale","given":"Benjamin"},{"family":"Todd-Brown","given":"Kathe"},{"family":"Thomas","given":"Lori"},{"family":"Ferreira","given":"Manuel A R"},{"family":"Bender","given":"David"},{"family":"Maller","given":"Julian"},{"family":"Sklar","given":"Pamela"},{"family":"de Bakker","given":"Paul I W"},{"family":"Daly","given":"Mark J"},{"family":"Sham","given":"Pak C"}],"issued":{"date-parts":[["2007",9]]},"PMID":"17701901","PMCID":"PMC1950838"}}],"schema":"https://github.com/citation-style-language/schema/raw/master/csl-citation.json"} </w:instrText>
      </w:r>
      <w:r w:rsidRPr="00B610AE">
        <w:rPr>
          <w:rFonts w:eastAsiaTheme="majorEastAsia" w:cs="Times New Roman"/>
          <w:bCs/>
          <w:sz w:val="24"/>
          <w:szCs w:val="24"/>
        </w:rPr>
        <w:fldChar w:fldCharType="separate"/>
      </w:r>
      <w:r w:rsidRPr="0074138A">
        <w:rPr>
          <w:rFonts w:ascii="Calibri" w:hAnsi="Calibri" w:cs="Times New Roman"/>
          <w:sz w:val="24"/>
          <w:szCs w:val="24"/>
          <w:vertAlign w:val="superscript"/>
        </w:rPr>
        <w:t>81</w:t>
      </w:r>
      <w:r w:rsidRPr="00B610AE">
        <w:rPr>
          <w:rFonts w:eastAsiaTheme="majorEastAsia" w:cs="Times New Roman"/>
          <w:bCs/>
          <w:sz w:val="24"/>
          <w:szCs w:val="24"/>
        </w:rPr>
        <w:fldChar w:fldCharType="end"/>
      </w:r>
      <w:r w:rsidRPr="00B610AE">
        <w:rPr>
          <w:rFonts w:eastAsiaTheme="majorEastAsia" w:cs="Times New Roman"/>
          <w:bCs/>
          <w:sz w:val="24"/>
          <w:szCs w:val="24"/>
        </w:rPr>
        <w:t xml:space="preserve"> using </w:t>
      </w:r>
      <w:proofErr w:type="spellStart"/>
      <w:r w:rsidRPr="00B610AE">
        <w:rPr>
          <w:rFonts w:eastAsiaTheme="majorEastAsia" w:cs="Times New Roman"/>
          <w:bCs/>
          <w:sz w:val="24"/>
          <w:szCs w:val="24"/>
        </w:rPr>
        <w:t>VCFTools</w:t>
      </w:r>
      <w:proofErr w:type="spellEnd"/>
      <w:r w:rsidRPr="00B610AE">
        <w:rPr>
          <w:rFonts w:eastAsiaTheme="majorEastAsia" w:cs="Times New Roman"/>
          <w:bCs/>
          <w:sz w:val="24"/>
          <w:szCs w:val="24"/>
        </w:rPr>
        <w:t xml:space="preserve"> </w:t>
      </w:r>
      <w:r w:rsidRPr="0074138A">
        <w:rPr>
          <w:rFonts w:eastAsiaTheme="majorEastAsia" w:cs="Times New Roman"/>
          <w:bCs/>
          <w:sz w:val="24"/>
          <w:szCs w:val="24"/>
        </w:rPr>
        <w:fldChar w:fldCharType="begin"/>
      </w:r>
      <w:r w:rsidRPr="0074138A">
        <w:rPr>
          <w:rFonts w:eastAsiaTheme="majorEastAsia" w:cs="Times New Roman"/>
          <w:bCs/>
          <w:sz w:val="24"/>
          <w:szCs w:val="24"/>
        </w:rPr>
        <w:instrText xml:space="preserve"> ADDIN ZOTERO_ITEM CSL_CITATION {"citationID":"2i8bbg8vkd","properties":{"formattedCitation":"{\\rtf \\super 82\\nosupersub{}}","plainCitation":"82"},"citationItems":[{"id":1111,"uris":["http://zotero.org/users/local/p20pxH9x/items/B6A2XWQR"],"uri":["http://zotero.org/users/local/p20pxH9x/items/B6A2XWQR"],"itemData":{"id":1111,"type":"article-journal","title":"The variant call format and VCFtools","container-title":"Bioinformatics (Oxford, England)","page":"2156-2158","volume":"27","issue":"15","source":"NCBI PubMed","abstract":"SUMMARY: The variant call format (VCF) is a generic format for storing DNA polymorphism data such as SNPs, insertions, deletions and structural variants, together with rich annotations. VCF is usually stored in a compressed manner and can be indexed for fast data retrieval of variants from a range of positions on the reference genome. The format was developed for the 1000 Genomes Project, and has also been adopted by other projects such as UK10K, dbSNP and the NHLBI Exome Project. VCFtools is a software suite that implements various utilities for processing VCF files, including validation, merging, comparing and also provides a general Perl API.\nAVAILABILITY: http://vcftools.sourceforge.net","DOI":"10.1093/bioinformatics/btr330","ISSN":"1367-4811","note":"PMID: 21653522 \nPMCID: PMC3137218","journalAbbreviation":"Bioinformatics","language":"eng","author":[{"family":"Danecek","given":"Petr"},{"family":"Auton","given":"Adam"},{"family":"Abecasis","given":"Goncalo"},{"family":"Albers","given":"Cornelis A"},{"family":"Banks","given":"Eric"},{"family":"DePristo","given":"Mark A"},{"family":"Handsaker","given":"Robert E"},{"family":"Lunter","given":"Gerton"},{"family":"Marth","given":"Gabor T"},{"family":"Sherry","given":"Stephen T"},{"family":"McVean","given":"Gilean"},{"family":"Durbin","given":"Richard"},{"family":"1000 Genomes Project Analysis Group","given":""}],"issued":{"date-parts":[["2011",8,1]]},"PMID":"21653522","PMCID":"PMC3137218"}}],"schema":"https://github.com/citation-style-language/schema/raw/master/csl-citation.json"} </w:instrText>
      </w:r>
      <w:r w:rsidRPr="0074138A">
        <w:rPr>
          <w:rFonts w:eastAsiaTheme="majorEastAsia" w:cs="Times New Roman"/>
          <w:bCs/>
          <w:sz w:val="24"/>
          <w:szCs w:val="24"/>
        </w:rPr>
        <w:fldChar w:fldCharType="separate"/>
      </w:r>
      <w:r w:rsidRPr="0074138A">
        <w:rPr>
          <w:rFonts w:ascii="Calibri" w:hAnsi="Calibri" w:cs="Times New Roman"/>
          <w:sz w:val="24"/>
          <w:szCs w:val="24"/>
          <w:vertAlign w:val="superscript"/>
        </w:rPr>
        <w:t>82</w:t>
      </w:r>
      <w:r w:rsidRPr="0074138A">
        <w:rPr>
          <w:rFonts w:eastAsiaTheme="majorEastAsia" w:cs="Times New Roman"/>
          <w:bCs/>
          <w:sz w:val="24"/>
          <w:szCs w:val="24"/>
        </w:rPr>
        <w:fldChar w:fldCharType="end"/>
      </w:r>
      <w:r w:rsidRPr="0074138A">
        <w:rPr>
          <w:rFonts w:eastAsiaTheme="majorEastAsia" w:cs="Times New Roman"/>
          <w:bCs/>
          <w:sz w:val="24"/>
          <w:szCs w:val="24"/>
        </w:rPr>
        <w:t>. L</w:t>
      </w:r>
      <w:r w:rsidRPr="00B610AE">
        <w:rPr>
          <w:rFonts w:eastAsiaTheme="majorEastAsia" w:cs="Times New Roman"/>
          <w:bCs/>
          <w:sz w:val="24"/>
          <w:szCs w:val="24"/>
        </w:rPr>
        <w:t xml:space="preserve">astly, we removed all variants not in our pre-defined list of candidate genes </w:t>
      </w:r>
      <w:r w:rsidR="00743B66" w:rsidRPr="006142BF">
        <w:rPr>
          <w:rFonts w:eastAsiaTheme="majorEastAsia" w:cs="Times New Roman"/>
          <w:bCs/>
          <w:sz w:val="24"/>
          <w:szCs w:val="24"/>
        </w:rPr>
        <w:t>(</w:t>
      </w:r>
      <w:r w:rsidR="00743B66" w:rsidRPr="006142BF">
        <w:rPr>
          <w:rFonts w:ascii="Calibri" w:eastAsia="Times New Roman" w:hAnsi="Calibri" w:cs="Times New Roman"/>
          <w:i/>
          <w:color w:val="000000"/>
          <w:sz w:val="24"/>
          <w:szCs w:val="24"/>
        </w:rPr>
        <w:t>A2M</w:t>
      </w:r>
      <w:r w:rsidR="00743B66" w:rsidRPr="006142BF">
        <w:rPr>
          <w:rFonts w:eastAsiaTheme="minorEastAsia" w:cs="Calibri"/>
          <w:color w:val="000000"/>
          <w:spacing w:val="11"/>
          <w:sz w:val="24"/>
          <w:szCs w:val="24"/>
        </w:rPr>
        <w:t xml:space="preserve"> </w:t>
      </w:r>
      <w:r w:rsidR="00743B66" w:rsidRPr="006142BF">
        <w:rPr>
          <w:rFonts w:ascii="Calibri" w:eastAsia="Times New Roman" w:hAnsi="Calibri" w:cs="Times New Roman"/>
          <w:color w:val="000000"/>
          <w:sz w:val="24"/>
          <w:szCs w:val="24"/>
        </w:rPr>
        <w:t>[NM_000014]</w:t>
      </w:r>
      <w:r w:rsidR="00743B66" w:rsidRPr="006142BF">
        <w:rPr>
          <w:rFonts w:eastAsiaTheme="minorEastAsia" w:cs="Calibri"/>
          <w:color w:val="000000"/>
          <w:spacing w:val="11"/>
          <w:sz w:val="24"/>
          <w:szCs w:val="24"/>
        </w:rPr>
        <w:t>,</w:t>
      </w:r>
      <w:r w:rsidR="00743B66" w:rsidRPr="006142BF">
        <w:rPr>
          <w:rFonts w:eastAsiaTheme="minorEastAsia"/>
          <w:sz w:val="24"/>
          <w:szCs w:val="24"/>
        </w:rPr>
        <w:t xml:space="preserve"> </w:t>
      </w:r>
      <w:r w:rsidR="00743B66" w:rsidRPr="006142BF">
        <w:rPr>
          <w:rFonts w:ascii="Calibri" w:eastAsia="Times New Roman" w:hAnsi="Calibri" w:cs="Times New Roman"/>
          <w:i/>
          <w:color w:val="000000"/>
          <w:sz w:val="24"/>
          <w:szCs w:val="24"/>
        </w:rPr>
        <w:t xml:space="preserve">ACE </w:t>
      </w:r>
      <w:r w:rsidR="00743B66" w:rsidRPr="006142BF">
        <w:rPr>
          <w:rFonts w:ascii="Calibri" w:eastAsia="Times New Roman" w:hAnsi="Calibri" w:cs="Times New Roman"/>
          <w:color w:val="000000"/>
          <w:sz w:val="24"/>
          <w:szCs w:val="24"/>
        </w:rPr>
        <w:t>[NM_000789]</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ADAM9</w:t>
      </w:r>
      <w:r w:rsidR="00743B66" w:rsidRPr="006142BF">
        <w:rPr>
          <w:rFonts w:ascii="Calibri" w:eastAsia="Times New Roman" w:hAnsi="Calibri" w:cs="Times New Roman"/>
          <w:color w:val="000000"/>
          <w:sz w:val="24"/>
          <w:szCs w:val="24"/>
        </w:rPr>
        <w:t xml:space="preserve"> [NM_003816</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ADAM10</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color w:val="000000"/>
          <w:sz w:val="24"/>
          <w:szCs w:val="24"/>
        </w:rPr>
        <w:t>NM_001110]</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ADAM17 </w:t>
      </w:r>
      <w:r w:rsidR="00743B66" w:rsidRPr="006142BF">
        <w:rPr>
          <w:rFonts w:ascii="Calibri" w:eastAsia="Times New Roman" w:hAnsi="Calibri" w:cs="Times New Roman"/>
          <w:color w:val="000000"/>
          <w:sz w:val="24"/>
          <w:szCs w:val="24"/>
        </w:rPr>
        <w:t>[NM_003183]</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APBA1 </w:t>
      </w:r>
      <w:r w:rsidR="00743B66" w:rsidRPr="006142BF">
        <w:rPr>
          <w:rFonts w:ascii="Calibri" w:eastAsia="Times New Roman" w:hAnsi="Calibri" w:cs="Times New Roman"/>
          <w:color w:val="000000"/>
          <w:sz w:val="24"/>
          <w:szCs w:val="24"/>
        </w:rPr>
        <w:t>[NM_001163]</w:t>
      </w:r>
      <w:r w:rsidR="00743B66" w:rsidRPr="006142BF">
        <w:rPr>
          <w:rFonts w:eastAsiaTheme="minorEastAsia" w:cs="Calibri"/>
          <w:color w:val="000000"/>
          <w:sz w:val="24"/>
          <w:szCs w:val="24"/>
        </w:rPr>
        <w:t>,</w:t>
      </w:r>
      <w:r w:rsidR="00743B66" w:rsidRPr="006142BF">
        <w:rPr>
          <w:rFonts w:eastAsiaTheme="minorEastAsia"/>
          <w:sz w:val="24"/>
          <w:szCs w:val="24"/>
        </w:rPr>
        <w:t xml:space="preserve"> </w:t>
      </w:r>
      <w:r w:rsidR="00743B66" w:rsidRPr="006142BF">
        <w:rPr>
          <w:rFonts w:eastAsiaTheme="minorEastAsia" w:cs="Calibri"/>
          <w:i/>
          <w:color w:val="000000"/>
          <w:sz w:val="24"/>
          <w:szCs w:val="24"/>
        </w:rPr>
        <w:t xml:space="preserve">APH1B </w:t>
      </w:r>
      <w:r w:rsidR="00743B66" w:rsidRPr="006142BF">
        <w:rPr>
          <w:rFonts w:eastAsiaTheme="minorEastAsia"/>
          <w:sz w:val="24"/>
          <w:szCs w:val="24"/>
        </w:rPr>
        <w:t>[</w:t>
      </w:r>
      <w:r w:rsidR="00743B66" w:rsidRPr="006142BF">
        <w:rPr>
          <w:rFonts w:ascii="Calibri" w:eastAsia="Times New Roman" w:hAnsi="Calibri" w:cs="Times New Roman"/>
          <w:color w:val="000000"/>
          <w:sz w:val="24"/>
          <w:szCs w:val="24"/>
        </w:rPr>
        <w:t>NM_031301]</w:t>
      </w:r>
      <w:r w:rsidR="00743B66" w:rsidRPr="006142BF">
        <w:rPr>
          <w:rFonts w:eastAsiaTheme="minorEastAsia" w:cs="Calibri"/>
          <w:color w:val="000000"/>
          <w:sz w:val="24"/>
          <w:szCs w:val="24"/>
        </w:rPr>
        <w:t xml:space="preserve">, </w:t>
      </w:r>
      <w:r w:rsidR="00743B66" w:rsidRPr="006142BF">
        <w:rPr>
          <w:rFonts w:eastAsiaTheme="minorEastAsia" w:cs="Calibri"/>
          <w:i/>
          <w:color w:val="000000"/>
          <w:sz w:val="24"/>
          <w:szCs w:val="24"/>
        </w:rPr>
        <w:t xml:space="preserve">APLP1 </w:t>
      </w:r>
      <w:r w:rsidR="00743B66" w:rsidRPr="006142BF">
        <w:rPr>
          <w:rFonts w:eastAsiaTheme="minorEastAsia" w:cs="Calibri"/>
          <w:color w:val="000000"/>
          <w:sz w:val="24"/>
          <w:szCs w:val="24"/>
        </w:rPr>
        <w:t>[NM_001024807</w:t>
      </w:r>
      <w:r w:rsidR="00743B66" w:rsidRPr="006142BF">
        <w:rPr>
          <w:rFonts w:ascii="Calibri" w:eastAsia="Times New Roman" w:hAnsi="Calibri" w:cs="Times New Roman"/>
          <w:color w:val="000000"/>
          <w:sz w:val="24"/>
          <w:szCs w:val="24"/>
        </w:rPr>
        <w:t>]</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BACE1 </w:t>
      </w:r>
      <w:r w:rsidR="00743B66" w:rsidRPr="006142BF">
        <w:rPr>
          <w:rFonts w:eastAsiaTheme="minorEastAsia" w:cs="Calibri"/>
          <w:color w:val="000000"/>
          <w:sz w:val="24"/>
          <w:szCs w:val="24"/>
        </w:rPr>
        <w:t>[</w:t>
      </w:r>
      <w:r w:rsidR="00743B66" w:rsidRPr="006142BF">
        <w:rPr>
          <w:rFonts w:ascii="Calibri" w:eastAsia="Times New Roman" w:hAnsi="Calibri" w:cs="Times New Roman"/>
          <w:color w:val="000000"/>
          <w:sz w:val="24"/>
          <w:szCs w:val="24"/>
        </w:rPr>
        <w:t>NM_012104]</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BACE2 </w:t>
      </w:r>
      <w:r w:rsidR="00743B66" w:rsidRPr="006142BF">
        <w:rPr>
          <w:rFonts w:eastAsiaTheme="minorEastAsia" w:cs="Calibri"/>
          <w:color w:val="000000"/>
          <w:sz w:val="24"/>
          <w:szCs w:val="24"/>
        </w:rPr>
        <w:t>[NM_012105</w:t>
      </w:r>
      <w:r w:rsidR="00743B66" w:rsidRPr="006142BF">
        <w:rPr>
          <w:rFonts w:ascii="Calibri" w:eastAsia="Times New Roman" w:hAnsi="Calibri" w:cs="Times New Roman"/>
          <w:color w:val="000000"/>
          <w:sz w:val="24"/>
          <w:szCs w:val="24"/>
        </w:rPr>
        <w:t>]</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CST3 </w:t>
      </w:r>
      <w:r w:rsidR="00743B66" w:rsidRPr="006142BF">
        <w:rPr>
          <w:rFonts w:eastAsiaTheme="minorEastAsia" w:cs="Calibri"/>
          <w:color w:val="000000"/>
          <w:sz w:val="24"/>
          <w:szCs w:val="24"/>
        </w:rPr>
        <w:t>[</w:t>
      </w:r>
      <w:r w:rsidR="00743B66" w:rsidRPr="006142BF">
        <w:rPr>
          <w:rFonts w:ascii="Calibri" w:eastAsia="Times New Roman" w:hAnsi="Calibri" w:cs="Times New Roman"/>
          <w:color w:val="000000"/>
          <w:sz w:val="24"/>
          <w:szCs w:val="24"/>
        </w:rPr>
        <w:t>NM_000099]</w:t>
      </w:r>
      <w:r w:rsidR="00743B66" w:rsidRPr="006142BF">
        <w:rPr>
          <w:rFonts w:eastAsiaTheme="minorEastAsia" w:cs="Calibri"/>
          <w:color w:val="000000"/>
          <w:sz w:val="24"/>
          <w:szCs w:val="24"/>
        </w:rPr>
        <w:t>,</w:t>
      </w:r>
      <w:r w:rsidR="00743B66" w:rsidRPr="006142BF">
        <w:rPr>
          <w:rFonts w:eastAsiaTheme="minorEastAsia"/>
          <w:sz w:val="24"/>
          <w:szCs w:val="24"/>
        </w:rPr>
        <w:t xml:space="preserve"> </w:t>
      </w:r>
      <w:r w:rsidR="00743B66" w:rsidRPr="006142BF">
        <w:rPr>
          <w:rFonts w:ascii="Calibri" w:eastAsia="Times New Roman" w:hAnsi="Calibri" w:cs="Times New Roman"/>
          <w:i/>
          <w:color w:val="000000"/>
          <w:sz w:val="24"/>
          <w:szCs w:val="24"/>
        </w:rPr>
        <w:t xml:space="preserve">CTSB </w:t>
      </w:r>
      <w:r w:rsidR="00743B66" w:rsidRPr="006142BF">
        <w:rPr>
          <w:rFonts w:eastAsiaTheme="minorEastAsia"/>
          <w:sz w:val="24"/>
          <w:szCs w:val="24"/>
        </w:rPr>
        <w:t>[NM_001908</w:t>
      </w:r>
      <w:r w:rsidR="00743B66" w:rsidRPr="006142BF">
        <w:rPr>
          <w:rFonts w:ascii="Calibri" w:eastAsia="Times New Roman" w:hAnsi="Calibri" w:cs="Times New Roman"/>
          <w:color w:val="000000"/>
          <w:sz w:val="24"/>
          <w:szCs w:val="24"/>
        </w:rPr>
        <w:t>]</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CTSD </w:t>
      </w:r>
      <w:r w:rsidR="00743B66" w:rsidRPr="006142BF">
        <w:rPr>
          <w:rFonts w:eastAsiaTheme="minorEastAsia" w:cs="Calibri"/>
          <w:color w:val="000000"/>
          <w:sz w:val="24"/>
          <w:szCs w:val="24"/>
        </w:rPr>
        <w:t>[NM_001909</w:t>
      </w:r>
      <w:r w:rsidR="00743B66" w:rsidRPr="006142BF">
        <w:rPr>
          <w:rFonts w:ascii="Calibri" w:eastAsia="Times New Roman" w:hAnsi="Calibri" w:cs="Times New Roman"/>
          <w:color w:val="000000"/>
          <w:sz w:val="24"/>
          <w:szCs w:val="24"/>
        </w:rPr>
        <w:t>]</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ECE1 </w:t>
      </w:r>
      <w:r w:rsidR="00743B66" w:rsidRPr="006142BF">
        <w:rPr>
          <w:rFonts w:eastAsiaTheme="minorEastAsia" w:cs="Calibri"/>
          <w:color w:val="000000"/>
          <w:sz w:val="24"/>
          <w:szCs w:val="24"/>
        </w:rPr>
        <w:t>[</w:t>
      </w:r>
      <w:r w:rsidR="00743B66" w:rsidRPr="006142BF">
        <w:rPr>
          <w:rFonts w:ascii="Calibri" w:eastAsia="Times New Roman" w:hAnsi="Calibri" w:cs="Times New Roman"/>
          <w:color w:val="000000"/>
          <w:sz w:val="24"/>
          <w:szCs w:val="24"/>
        </w:rPr>
        <w:t>NM_001397]</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ECE2</w:t>
      </w:r>
      <w:r w:rsidR="00743B66" w:rsidRPr="006142BF">
        <w:rPr>
          <w:rFonts w:eastAsiaTheme="minorEastAsia" w:cs="Calibri"/>
          <w:color w:val="000000"/>
          <w:sz w:val="24"/>
          <w:szCs w:val="24"/>
        </w:rPr>
        <w:t xml:space="preserve"> [NM_014693</w:t>
      </w:r>
      <w:r w:rsidR="00743B66" w:rsidRPr="006142BF">
        <w:rPr>
          <w:rFonts w:ascii="Calibri" w:eastAsia="Times New Roman" w:hAnsi="Calibri" w:cs="Times New Roman"/>
          <w:color w:val="000000"/>
          <w:sz w:val="24"/>
          <w:szCs w:val="24"/>
        </w:rPr>
        <w:t>]</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GPR3 </w:t>
      </w:r>
      <w:r w:rsidR="00743B66" w:rsidRPr="006142BF">
        <w:rPr>
          <w:rFonts w:eastAsiaTheme="minorEastAsia" w:cs="Calibri"/>
          <w:color w:val="000000"/>
          <w:sz w:val="24"/>
          <w:szCs w:val="24"/>
        </w:rPr>
        <w:t>[</w:t>
      </w:r>
      <w:r w:rsidR="00743B66" w:rsidRPr="006142BF">
        <w:rPr>
          <w:rFonts w:ascii="Calibri" w:eastAsia="Times New Roman" w:hAnsi="Calibri" w:cs="Times New Roman"/>
          <w:color w:val="000000"/>
          <w:sz w:val="24"/>
          <w:szCs w:val="24"/>
        </w:rPr>
        <w:t>NM_005281]</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IDE</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color w:val="000000"/>
          <w:sz w:val="24"/>
          <w:szCs w:val="24"/>
        </w:rPr>
        <w:t>NM_004969]</w:t>
      </w:r>
      <w:r w:rsidR="00743B66" w:rsidRPr="006142BF">
        <w:rPr>
          <w:rFonts w:eastAsiaTheme="minorEastAsia" w:cs="Calibri"/>
          <w:color w:val="000000"/>
          <w:sz w:val="24"/>
          <w:szCs w:val="24"/>
        </w:rPr>
        <w:t xml:space="preserve">, </w:t>
      </w:r>
      <w:r w:rsidR="00743B66" w:rsidRPr="006142BF">
        <w:rPr>
          <w:rFonts w:eastAsiaTheme="minorEastAsia" w:cs="Calibri"/>
          <w:i/>
          <w:color w:val="000000"/>
          <w:sz w:val="24"/>
          <w:szCs w:val="24"/>
        </w:rPr>
        <w:t>LRP1</w:t>
      </w:r>
      <w:r w:rsidR="00743B66" w:rsidRPr="006142BF">
        <w:rPr>
          <w:rFonts w:eastAsiaTheme="minorEastAsia" w:cs="Calibri"/>
          <w:color w:val="000000"/>
          <w:sz w:val="24"/>
          <w:szCs w:val="24"/>
        </w:rPr>
        <w:t xml:space="preserve"> [NM_002332], </w:t>
      </w:r>
      <w:r w:rsidR="00743B66" w:rsidRPr="006142BF">
        <w:rPr>
          <w:rFonts w:ascii="Calibri" w:eastAsia="Times New Roman" w:hAnsi="Calibri" w:cs="Times New Roman"/>
          <w:i/>
          <w:color w:val="000000"/>
          <w:sz w:val="24"/>
          <w:szCs w:val="24"/>
        </w:rPr>
        <w:t xml:space="preserve">KLK6 </w:t>
      </w:r>
      <w:r w:rsidR="00743B66" w:rsidRPr="006142BF">
        <w:rPr>
          <w:rFonts w:eastAsiaTheme="minorEastAsia" w:cs="Calibri"/>
          <w:color w:val="000000"/>
          <w:sz w:val="24"/>
          <w:szCs w:val="24"/>
        </w:rPr>
        <w:t>[NM_001012964</w:t>
      </w:r>
      <w:r w:rsidR="00743B66" w:rsidRPr="006142BF">
        <w:rPr>
          <w:rFonts w:ascii="Calibri" w:eastAsia="Times New Roman" w:hAnsi="Calibri" w:cs="Times New Roman"/>
          <w:color w:val="000000"/>
          <w:sz w:val="24"/>
          <w:szCs w:val="24"/>
        </w:rPr>
        <w:t>]</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LRRTM3 </w:t>
      </w:r>
      <w:r w:rsidR="00743B66" w:rsidRPr="006142BF">
        <w:rPr>
          <w:rFonts w:eastAsiaTheme="minorEastAsia" w:cs="Calibri"/>
          <w:color w:val="000000"/>
          <w:sz w:val="24"/>
          <w:szCs w:val="24"/>
        </w:rPr>
        <w:t>[</w:t>
      </w:r>
      <w:r w:rsidR="00743B66" w:rsidRPr="006142BF">
        <w:rPr>
          <w:rFonts w:ascii="Calibri" w:eastAsia="Times New Roman" w:hAnsi="Calibri" w:cs="Times New Roman"/>
          <w:color w:val="000000"/>
          <w:sz w:val="24"/>
          <w:szCs w:val="24"/>
        </w:rPr>
        <w:t>NM_178011]</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LYZ </w:t>
      </w:r>
      <w:r w:rsidR="00743B66" w:rsidRPr="006142BF">
        <w:rPr>
          <w:rFonts w:eastAsiaTheme="minorEastAsia" w:cs="Calibri"/>
          <w:color w:val="000000"/>
          <w:sz w:val="24"/>
          <w:szCs w:val="24"/>
        </w:rPr>
        <w:t>[</w:t>
      </w:r>
      <w:r w:rsidR="00743B66" w:rsidRPr="006142BF">
        <w:rPr>
          <w:rFonts w:ascii="Calibri" w:eastAsia="Times New Roman" w:hAnsi="Calibri" w:cs="Times New Roman"/>
          <w:color w:val="000000"/>
          <w:sz w:val="24"/>
          <w:szCs w:val="24"/>
        </w:rPr>
        <w:t>NM_000239]</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MEP1B </w:t>
      </w:r>
      <w:r w:rsidR="00743B66" w:rsidRPr="006142BF">
        <w:rPr>
          <w:rFonts w:eastAsiaTheme="minorEastAsia" w:cs="Calibri"/>
          <w:color w:val="000000"/>
          <w:sz w:val="24"/>
          <w:szCs w:val="24"/>
        </w:rPr>
        <w:t>[NM_005925</w:t>
      </w:r>
      <w:r w:rsidR="00743B66" w:rsidRPr="006142BF">
        <w:rPr>
          <w:rFonts w:ascii="Calibri" w:eastAsia="Times New Roman" w:hAnsi="Calibri" w:cs="Times New Roman"/>
          <w:color w:val="000000"/>
          <w:sz w:val="24"/>
          <w:szCs w:val="24"/>
        </w:rPr>
        <w:t>]</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MME </w:t>
      </w:r>
      <w:r w:rsidR="00743B66" w:rsidRPr="006142BF">
        <w:rPr>
          <w:rFonts w:eastAsiaTheme="minorEastAsia" w:cs="Calibri"/>
          <w:color w:val="000000"/>
          <w:sz w:val="24"/>
          <w:szCs w:val="24"/>
        </w:rPr>
        <w:lastRenderedPageBreak/>
        <w:t>[NM_000902</w:t>
      </w:r>
      <w:r w:rsidR="00743B66" w:rsidRPr="006142BF">
        <w:rPr>
          <w:rFonts w:ascii="Calibri" w:eastAsia="Times New Roman" w:hAnsi="Calibri" w:cs="Times New Roman"/>
          <w:color w:val="000000"/>
          <w:sz w:val="24"/>
          <w:szCs w:val="24"/>
        </w:rPr>
        <w:t>]</w:t>
      </w:r>
      <w:r w:rsidR="00743B66" w:rsidRPr="006142BF">
        <w:rPr>
          <w:rFonts w:eastAsiaTheme="minorEastAsia" w:cs="Calibri"/>
          <w:color w:val="000000"/>
          <w:sz w:val="24"/>
          <w:szCs w:val="24"/>
        </w:rPr>
        <w:t>,</w:t>
      </w:r>
      <w:r w:rsidR="00743B66" w:rsidRPr="006142BF">
        <w:rPr>
          <w:rFonts w:eastAsiaTheme="minorEastAsia"/>
          <w:sz w:val="24"/>
          <w:szCs w:val="24"/>
        </w:rPr>
        <w:t xml:space="preserve"> </w:t>
      </w:r>
      <w:r w:rsidR="00743B66" w:rsidRPr="006142BF">
        <w:rPr>
          <w:rFonts w:ascii="Calibri" w:eastAsia="Times New Roman" w:hAnsi="Calibri" w:cs="Times New Roman"/>
          <w:i/>
          <w:color w:val="000000"/>
          <w:sz w:val="24"/>
          <w:szCs w:val="24"/>
        </w:rPr>
        <w:t xml:space="preserve">MMP3 </w:t>
      </w:r>
      <w:r w:rsidR="00743B66" w:rsidRPr="006142BF">
        <w:rPr>
          <w:rFonts w:eastAsiaTheme="minorEastAsia"/>
          <w:sz w:val="24"/>
          <w:szCs w:val="24"/>
        </w:rPr>
        <w:t>[</w:t>
      </w:r>
      <w:r w:rsidR="00743B66" w:rsidRPr="006142BF">
        <w:rPr>
          <w:rFonts w:ascii="Calibri" w:eastAsia="Times New Roman" w:hAnsi="Calibri" w:cs="Times New Roman"/>
          <w:color w:val="000000"/>
          <w:sz w:val="24"/>
          <w:szCs w:val="24"/>
        </w:rPr>
        <w:t>NM_002422],</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NCSTN </w:t>
      </w:r>
      <w:r w:rsidR="00743B66" w:rsidRPr="006142BF">
        <w:rPr>
          <w:rFonts w:eastAsiaTheme="minorEastAsia" w:cs="Calibri"/>
          <w:color w:val="000000"/>
          <w:sz w:val="24"/>
          <w:szCs w:val="24"/>
        </w:rPr>
        <w:t>[</w:t>
      </w:r>
      <w:r w:rsidR="00743B66" w:rsidRPr="006142BF">
        <w:rPr>
          <w:rFonts w:ascii="Calibri" w:eastAsia="Times New Roman" w:hAnsi="Calibri" w:cs="Times New Roman"/>
          <w:color w:val="000000"/>
          <w:sz w:val="24"/>
          <w:szCs w:val="24"/>
        </w:rPr>
        <w:t>NM_015331]</w:t>
      </w:r>
      <w:r w:rsidR="00743B66" w:rsidRPr="006142BF">
        <w:rPr>
          <w:rFonts w:eastAsiaTheme="minorEastAsia" w:cs="Calibri"/>
          <w:color w:val="000000"/>
          <w:sz w:val="24"/>
          <w:szCs w:val="24"/>
        </w:rPr>
        <w:t xml:space="preserve">  , </w:t>
      </w:r>
      <w:r w:rsidR="00743B66" w:rsidRPr="006142BF">
        <w:rPr>
          <w:rFonts w:ascii="Calibri" w:eastAsia="Times New Roman" w:hAnsi="Calibri" w:cs="Times New Roman"/>
          <w:i/>
          <w:color w:val="000000"/>
          <w:sz w:val="24"/>
          <w:szCs w:val="24"/>
        </w:rPr>
        <w:t xml:space="preserve">PLAT </w:t>
      </w:r>
      <w:r w:rsidR="00743B66" w:rsidRPr="006142BF">
        <w:rPr>
          <w:rFonts w:eastAsiaTheme="minorEastAsia" w:cs="Calibri"/>
          <w:color w:val="000000"/>
          <w:sz w:val="24"/>
          <w:szCs w:val="24"/>
        </w:rPr>
        <w:t>[NM_000930</w:t>
      </w:r>
      <w:r w:rsidR="00743B66" w:rsidRPr="006142BF">
        <w:rPr>
          <w:rFonts w:ascii="Calibri" w:eastAsia="Times New Roman" w:hAnsi="Calibri" w:cs="Times New Roman"/>
          <w:color w:val="000000"/>
          <w:sz w:val="24"/>
          <w:szCs w:val="24"/>
        </w:rPr>
        <w:t>]</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PSENEN </w:t>
      </w:r>
      <w:r w:rsidR="00743B66" w:rsidRPr="006142BF">
        <w:rPr>
          <w:rFonts w:eastAsiaTheme="minorEastAsia" w:cs="Calibri"/>
          <w:color w:val="000000"/>
          <w:sz w:val="24"/>
          <w:szCs w:val="24"/>
        </w:rPr>
        <w:t>[</w:t>
      </w:r>
      <w:r w:rsidR="00743B66" w:rsidRPr="006142BF">
        <w:rPr>
          <w:rFonts w:ascii="Calibri" w:eastAsia="Times New Roman" w:hAnsi="Calibri" w:cs="Times New Roman"/>
          <w:color w:val="000000"/>
          <w:sz w:val="24"/>
          <w:szCs w:val="24"/>
        </w:rPr>
        <w:t>NM_172341]</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SORL1 </w:t>
      </w:r>
      <w:r w:rsidR="00743B66" w:rsidRPr="006142BF">
        <w:rPr>
          <w:rFonts w:eastAsiaTheme="minorEastAsia" w:cs="Calibri"/>
          <w:color w:val="000000"/>
          <w:sz w:val="24"/>
          <w:szCs w:val="24"/>
        </w:rPr>
        <w:t>[</w:t>
      </w:r>
      <w:r w:rsidR="00743B66" w:rsidRPr="006142BF">
        <w:rPr>
          <w:rFonts w:ascii="Calibri" w:eastAsia="Times New Roman" w:hAnsi="Calibri" w:cs="Times New Roman"/>
          <w:color w:val="000000"/>
          <w:sz w:val="24"/>
          <w:szCs w:val="24"/>
        </w:rPr>
        <w:t>NM_003105]</w:t>
      </w:r>
      <w:r w:rsidR="00743B66" w:rsidRPr="006142BF">
        <w:rPr>
          <w:rFonts w:eastAsiaTheme="minorEastAsia" w:cs="Calibri"/>
          <w:color w:val="000000"/>
          <w:sz w:val="24"/>
          <w:szCs w:val="24"/>
        </w:rPr>
        <w:t xml:space="preserve">, </w:t>
      </w:r>
      <w:r w:rsidR="00743B66" w:rsidRPr="006142BF">
        <w:rPr>
          <w:rFonts w:ascii="Calibri" w:eastAsia="Times New Roman" w:hAnsi="Calibri" w:cs="Times New Roman"/>
          <w:i/>
          <w:color w:val="000000"/>
          <w:sz w:val="24"/>
          <w:szCs w:val="24"/>
        </w:rPr>
        <w:t xml:space="preserve">TTR </w:t>
      </w:r>
      <w:r w:rsidR="00743B66" w:rsidRPr="006142BF">
        <w:rPr>
          <w:rFonts w:eastAsiaTheme="minorEastAsia" w:cs="Calibri"/>
          <w:color w:val="000000"/>
          <w:sz w:val="24"/>
          <w:szCs w:val="24"/>
        </w:rPr>
        <w:t>[</w:t>
      </w:r>
      <w:r w:rsidR="00743B66" w:rsidRPr="006142BF">
        <w:rPr>
          <w:rFonts w:ascii="Calibri" w:eastAsia="Times New Roman" w:hAnsi="Calibri" w:cs="Times New Roman"/>
          <w:color w:val="000000"/>
          <w:sz w:val="24"/>
          <w:szCs w:val="24"/>
        </w:rPr>
        <w:t>NM_000371])</w:t>
      </w:r>
      <w:r w:rsidRPr="00B610AE">
        <w:rPr>
          <w:rFonts w:ascii="Calibri" w:eastAsia="Times New Roman" w:hAnsi="Calibri" w:cs="Times New Roman"/>
          <w:color w:val="000000"/>
          <w:sz w:val="24"/>
          <w:szCs w:val="24"/>
        </w:rPr>
        <w:t xml:space="preserve"> (</w:t>
      </w:r>
      <w:r w:rsidRPr="00B610AE">
        <w:rPr>
          <w:rFonts w:ascii="Calibri" w:eastAsia="Times New Roman" w:hAnsi="Calibri" w:cs="Times New Roman"/>
          <w:b/>
          <w:color w:val="000000"/>
          <w:sz w:val="24"/>
          <w:szCs w:val="24"/>
        </w:rPr>
        <w:t>Table S1</w:t>
      </w:r>
      <w:r w:rsidRPr="00B610AE">
        <w:rPr>
          <w:rFonts w:ascii="Calibri" w:eastAsia="Times New Roman" w:hAnsi="Calibri" w:cs="Times New Roman"/>
          <w:color w:val="000000"/>
          <w:sz w:val="24"/>
          <w:szCs w:val="24"/>
        </w:rPr>
        <w:t xml:space="preserve">). </w:t>
      </w:r>
      <w:r w:rsidRPr="00B610AE">
        <w:rPr>
          <w:rFonts w:eastAsiaTheme="majorEastAsia" w:cs="Times New Roman"/>
          <w:bCs/>
          <w:sz w:val="24"/>
          <w:szCs w:val="24"/>
        </w:rPr>
        <w:t xml:space="preserve">Remaining variants were annotated using </w:t>
      </w:r>
      <w:r w:rsidRPr="0074138A">
        <w:rPr>
          <w:rFonts w:eastAsiaTheme="majorEastAsia" w:cs="Times New Roman"/>
          <w:bCs/>
          <w:sz w:val="24"/>
          <w:szCs w:val="24"/>
        </w:rPr>
        <w:t xml:space="preserve">ANNOVAR </w:t>
      </w:r>
      <w:r w:rsidRPr="0074138A">
        <w:rPr>
          <w:rFonts w:eastAsiaTheme="majorEastAsia" w:cs="Times New Roman"/>
          <w:bCs/>
          <w:sz w:val="24"/>
          <w:szCs w:val="24"/>
        </w:rPr>
        <w:fldChar w:fldCharType="begin"/>
      </w:r>
      <w:r w:rsidRPr="0074138A">
        <w:rPr>
          <w:rFonts w:eastAsiaTheme="majorEastAsia" w:cs="Times New Roman"/>
          <w:bCs/>
          <w:sz w:val="24"/>
          <w:szCs w:val="24"/>
        </w:rPr>
        <w:instrText xml:space="preserve"> ADDIN ZOTERO_ITEM CSL_CITATION {"citationID":"j41ddqlp1","properties":{"formattedCitation":"{\\rtf \\super 83\\nosupersub{}}","plainCitation":"83"},"citationItems":[{"id":556,"uris":["http://zotero.org/users/local/p20pxH9x/items/7J3688HZ"],"uri":["http://zotero.org/users/local/p20pxH9x/items/7J3688HZ"],"itemData":{"id":556,"type":"article-journal","title":"ANNOVAR: functional annotation of genetic variants from high-throughput sequencing data","container-title":"Nucleic acids research","page":"e164","volume":"38","issue":"16","source":"NCBI PubMed","abstract":"High-throughput sequencing platforms are generating massive amounts of genetic variation data for diverse genomes, but it remains a challenge to pinpoint a small subset of functionally important variants. To fill these unmet needs, we developed the ANNOVAR tool to annotate single nucleotide variants (SNVs) and insertions/deletions, such as examining their functional consequence on genes, inferring cytogenetic bands, reporting functional importance scores, finding variants in conserved regions, or identifying variants reported in the 1000 Genomes Project and dbSNP. ANNOVAR can utilize annotation databases from the UCSC Genome Browser or any annotation data set conforming to Generic Feature Format version 3 (GFF3). We also illustrate a 'variants reduction' protocol on 4.7 million SNVs and indels from a human genome, including two causal mutations for Miller syndrome, a rare recessive disease. Through a stepwise procedure, we excluded variants that are unlikely to be causal, and identified 20 candidate genes including the causal gene. Using a desktop computer, ANNOVAR requires </w:instrText>
      </w:r>
      <w:r w:rsidRPr="0074138A">
        <w:rPr>
          <w:rFonts w:ascii="Cambria Math" w:eastAsiaTheme="majorEastAsia" w:hAnsi="Cambria Math" w:cs="Cambria Math"/>
          <w:bCs/>
          <w:sz w:val="24"/>
          <w:szCs w:val="24"/>
        </w:rPr>
        <w:instrText>∼</w:instrText>
      </w:r>
      <w:r w:rsidRPr="0074138A">
        <w:rPr>
          <w:rFonts w:eastAsiaTheme="majorEastAsia" w:cs="Times New Roman"/>
          <w:bCs/>
          <w:sz w:val="24"/>
          <w:szCs w:val="24"/>
        </w:rPr>
        <w:instrText>4</w:instrText>
      </w:r>
      <w:r w:rsidRPr="0074138A">
        <w:rPr>
          <w:rFonts w:ascii="Calibri" w:eastAsiaTheme="majorEastAsia" w:hAnsi="Calibri" w:cs="Calibri"/>
          <w:bCs/>
          <w:sz w:val="24"/>
          <w:szCs w:val="24"/>
        </w:rPr>
        <w:instrText> </w:instrText>
      </w:r>
      <w:r w:rsidRPr="0074138A">
        <w:rPr>
          <w:rFonts w:eastAsiaTheme="majorEastAsia" w:cs="Times New Roman"/>
          <w:bCs/>
          <w:sz w:val="24"/>
          <w:szCs w:val="24"/>
        </w:rPr>
        <w:instrText xml:space="preserve">min to perform gene-based annotation and </w:instrText>
      </w:r>
      <w:r w:rsidRPr="0074138A">
        <w:rPr>
          <w:rFonts w:ascii="Cambria Math" w:eastAsiaTheme="majorEastAsia" w:hAnsi="Cambria Math" w:cs="Cambria Math"/>
          <w:bCs/>
          <w:sz w:val="24"/>
          <w:szCs w:val="24"/>
        </w:rPr>
        <w:instrText>∼</w:instrText>
      </w:r>
      <w:r w:rsidRPr="0074138A">
        <w:rPr>
          <w:rFonts w:eastAsiaTheme="majorEastAsia" w:cs="Times New Roman"/>
          <w:bCs/>
          <w:sz w:val="24"/>
          <w:szCs w:val="24"/>
        </w:rPr>
        <w:instrText>15</w:instrText>
      </w:r>
      <w:r w:rsidRPr="0074138A">
        <w:rPr>
          <w:rFonts w:ascii="Calibri" w:eastAsiaTheme="majorEastAsia" w:hAnsi="Calibri" w:cs="Calibri"/>
          <w:bCs/>
          <w:sz w:val="24"/>
          <w:szCs w:val="24"/>
        </w:rPr>
        <w:instrText> </w:instrText>
      </w:r>
      <w:r w:rsidRPr="0074138A">
        <w:rPr>
          <w:rFonts w:eastAsiaTheme="majorEastAsia" w:cs="Times New Roman"/>
          <w:bCs/>
          <w:sz w:val="24"/>
          <w:szCs w:val="24"/>
        </w:rPr>
        <w:instrText>min to perform variants reduction on 4.7</w:instrText>
      </w:r>
      <w:r w:rsidRPr="0074138A">
        <w:rPr>
          <w:rFonts w:ascii="Calibri" w:eastAsiaTheme="majorEastAsia" w:hAnsi="Calibri" w:cs="Calibri"/>
          <w:bCs/>
          <w:sz w:val="24"/>
          <w:szCs w:val="24"/>
        </w:rPr>
        <w:instrText> </w:instrText>
      </w:r>
      <w:r w:rsidRPr="0074138A">
        <w:rPr>
          <w:rFonts w:eastAsiaTheme="majorEastAsia" w:cs="Times New Roman"/>
          <w:bCs/>
          <w:sz w:val="24"/>
          <w:szCs w:val="24"/>
        </w:rPr>
        <w:instrText xml:space="preserve">million variants, making it practical to handle hundreds of human genomes in a day. ANNOVAR is freely available at http://www.openbioinformatics.org/annovar/.","DOI":"10.1093/nar/gkq603","ISSN":"1362-4962","note":"PMID: 20601685","shortTitle":"ANNOVAR","journalAbbreviation":"Nucleic Acids Res.","language":"eng","author":[{"family":"Wang","given":"Kai"},{"family":"Li","given":"Mingyao"},{"family":"Hakonarson","given":"Hakon"}],"issued":{"date-parts":[["2010",9]]},"PMID":"20601685"}}],"schema":"https://github.com/citation-style-language/schema/raw/master/csl-citation.json"} </w:instrText>
      </w:r>
      <w:r w:rsidRPr="0074138A">
        <w:rPr>
          <w:rFonts w:eastAsiaTheme="majorEastAsia" w:cs="Times New Roman"/>
          <w:bCs/>
          <w:sz w:val="24"/>
          <w:szCs w:val="24"/>
        </w:rPr>
        <w:fldChar w:fldCharType="separate"/>
      </w:r>
      <w:r w:rsidRPr="0074138A">
        <w:rPr>
          <w:rFonts w:ascii="Calibri" w:hAnsi="Calibri" w:cs="Times New Roman"/>
          <w:sz w:val="24"/>
          <w:szCs w:val="24"/>
          <w:vertAlign w:val="superscript"/>
        </w:rPr>
        <w:t>83</w:t>
      </w:r>
      <w:r w:rsidRPr="0074138A">
        <w:rPr>
          <w:rFonts w:eastAsiaTheme="majorEastAsia" w:cs="Times New Roman"/>
          <w:bCs/>
          <w:sz w:val="24"/>
          <w:szCs w:val="24"/>
        </w:rPr>
        <w:fldChar w:fldCharType="end"/>
      </w:r>
      <w:r w:rsidRPr="0074138A">
        <w:rPr>
          <w:rFonts w:eastAsiaTheme="majorEastAsia" w:cs="Times New Roman"/>
          <w:bCs/>
          <w:sz w:val="24"/>
          <w:szCs w:val="24"/>
        </w:rPr>
        <w:t>. Each</w:t>
      </w:r>
      <w:r w:rsidRPr="00B610AE">
        <w:rPr>
          <w:rFonts w:eastAsiaTheme="majorEastAsia" w:cs="Times New Roman"/>
          <w:bCs/>
          <w:sz w:val="24"/>
          <w:szCs w:val="24"/>
        </w:rPr>
        <w:t xml:space="preserve"> variant was annotated with gene information (gene name, transcript ID, and transcript and protein positions of the variant), genomic location (exon, intron, UTR, intergenic, etc.), one or more variant classes (5’-UTR, 3’-UTR, </w:t>
      </w:r>
      <w:proofErr w:type="spellStart"/>
      <w:r w:rsidRPr="00B610AE">
        <w:rPr>
          <w:rFonts w:eastAsiaTheme="majorEastAsia" w:cs="Times New Roman"/>
          <w:bCs/>
          <w:sz w:val="24"/>
          <w:szCs w:val="24"/>
        </w:rPr>
        <w:t>intergenic</w:t>
      </w:r>
      <w:proofErr w:type="spellEnd"/>
      <w:r w:rsidRPr="00B610AE">
        <w:rPr>
          <w:rFonts w:eastAsiaTheme="majorEastAsia" w:cs="Times New Roman"/>
          <w:bCs/>
          <w:sz w:val="24"/>
          <w:szCs w:val="24"/>
        </w:rPr>
        <w:t xml:space="preserve">, </w:t>
      </w:r>
      <w:proofErr w:type="spellStart"/>
      <w:r w:rsidRPr="00B610AE">
        <w:rPr>
          <w:rFonts w:eastAsiaTheme="majorEastAsia" w:cs="Times New Roman"/>
          <w:bCs/>
          <w:sz w:val="24"/>
          <w:szCs w:val="24"/>
        </w:rPr>
        <w:t>intronic</w:t>
      </w:r>
      <w:proofErr w:type="spellEnd"/>
      <w:r w:rsidRPr="00B610AE">
        <w:rPr>
          <w:rFonts w:eastAsiaTheme="majorEastAsia" w:cs="Times New Roman"/>
          <w:bCs/>
          <w:sz w:val="24"/>
          <w:szCs w:val="24"/>
        </w:rPr>
        <w:t xml:space="preserve">, splice site, </w:t>
      </w:r>
      <w:proofErr w:type="spellStart"/>
      <w:r w:rsidRPr="00B610AE">
        <w:rPr>
          <w:rFonts w:eastAsiaTheme="majorEastAsia" w:cs="Times New Roman"/>
          <w:bCs/>
          <w:sz w:val="24"/>
          <w:szCs w:val="24"/>
        </w:rPr>
        <w:t>nonsynonymous</w:t>
      </w:r>
      <w:proofErr w:type="spellEnd"/>
      <w:r w:rsidRPr="00B610AE">
        <w:rPr>
          <w:rFonts w:eastAsiaTheme="majorEastAsia" w:cs="Times New Roman"/>
          <w:bCs/>
          <w:sz w:val="24"/>
          <w:szCs w:val="24"/>
        </w:rPr>
        <w:t xml:space="preserve">, stop-gain, stop-loss, or synonymous), the 1000 Genomes minor allele </w:t>
      </w:r>
      <w:r w:rsidRPr="0074138A">
        <w:rPr>
          <w:rFonts w:eastAsiaTheme="majorEastAsia" w:cs="Times New Roman"/>
          <w:bCs/>
          <w:sz w:val="24"/>
          <w:szCs w:val="24"/>
        </w:rPr>
        <w:t xml:space="preserve">frequency </w:t>
      </w:r>
      <w:r w:rsidRPr="0074138A">
        <w:rPr>
          <w:rFonts w:eastAsiaTheme="majorEastAsia" w:cs="Times New Roman"/>
          <w:bCs/>
          <w:sz w:val="24"/>
          <w:szCs w:val="24"/>
        </w:rPr>
        <w:fldChar w:fldCharType="begin"/>
      </w:r>
      <w:r w:rsidRPr="0074138A">
        <w:rPr>
          <w:rFonts w:eastAsiaTheme="majorEastAsia" w:cs="Times New Roman"/>
          <w:bCs/>
          <w:sz w:val="24"/>
          <w:szCs w:val="24"/>
        </w:rPr>
        <w:instrText xml:space="preserve"> ADDIN ZOTERO_ITEM CSL_CITATION {"citationID":"1kmbs1993i","properties":{"formattedCitation":"{\\rtf \\super 84\\nosupersub{}}","plainCitation":"84"},"citationItems":[{"id":1115,"uris":["http://zotero.org/users/local/p20pxH9x/items/RASKHBQD"],"uri":["http://zotero.org/users/local/p20pxH9x/items/RASKHBQD"],"itemData":{"id":1115,"type":"article-journal","title":"An integrated map of genetic variation from 1,092 human genomes","container-title":"Nature","page":"56-65","volume":"491","issue":"7422","source":"NCBI PubMed","abstract":"By characterizing the geographic and functional spectrum of human genetic variation, the 1000 Genomes Project aims to build a resource to help to understand the genetic contribution to disease. Here we describe the genomes of 1,092 individuals from 14 populations, constructed using a combination of low-coverage whole-genome and exome sequencing. By developing methods to integrate information across several algorithms and diverse data sources, we provide a validated haplotype map of 38 million single nucleotide polymorphisms, 1.4 million short insertions and deletions, and more than 14,000 larger deletions. We show that individuals from different populations carry different profiles of rare and common variants, and that low-frequency variants show substantial geographic differentiation, which is further increased by the action of purifying selection. We show that evolutionary conservation and coding consequence are key determinants of the strength of purifying selection, that rare-variant load varies substantially across biological pathways, and that each individual contains hundreds of rare non-coding variants at conserved sites, such as motif-disrupting changes in transcription-factor-binding sites. This resource, which captures up to 98% of accessible single nucleotide polymorphisms at a frequency of 1% in related populations, enables analysis of common and low-frequency variants in individuals from diverse, including admixed, populations.","DOI":"10.1038/nature11632","ISSN":"1476-4687","note":"PMID: 23128226 \nPMCID: PMC3498066","journalAbbreviation":"Nature","language":"eng","author":[{"family":"1000 Genomes Project Consortium","given":""},{"family":"Abecasis","given":"Goncalo R"},{"family":"Auton","given":"Adam"},{"family":"Brooks","given":"Lisa D"},{"family":"DePristo","given":"Mark A"},{"family":"Durbin","given":"Richard M"},{"family":"Handsaker","given":"Robert E"},{"family":"Kang","given":"Hyun Min"},{"family":"Marth","given":"Gabor T"},{"family":"McVean","given":"Gil A"}],"issued":{"date-parts":[["2012",11,1]]},"PMID":"23128226","PMCID":"PMC3498066"}}],"schema":"https://github.com/citation-style-language/schema/raw/master/csl-citation.json"} </w:instrText>
      </w:r>
      <w:r w:rsidRPr="0074138A">
        <w:rPr>
          <w:rFonts w:eastAsiaTheme="majorEastAsia" w:cs="Times New Roman"/>
          <w:bCs/>
          <w:sz w:val="24"/>
          <w:szCs w:val="24"/>
        </w:rPr>
        <w:fldChar w:fldCharType="separate"/>
      </w:r>
      <w:r w:rsidRPr="0074138A">
        <w:rPr>
          <w:rFonts w:ascii="Calibri" w:hAnsi="Calibri" w:cs="Times New Roman"/>
          <w:sz w:val="24"/>
          <w:szCs w:val="24"/>
          <w:vertAlign w:val="superscript"/>
        </w:rPr>
        <w:t>84</w:t>
      </w:r>
      <w:r w:rsidRPr="0074138A">
        <w:rPr>
          <w:rFonts w:eastAsiaTheme="majorEastAsia" w:cs="Times New Roman"/>
          <w:bCs/>
          <w:sz w:val="24"/>
          <w:szCs w:val="24"/>
        </w:rPr>
        <w:fldChar w:fldCharType="end"/>
      </w:r>
      <w:r w:rsidRPr="0074138A">
        <w:rPr>
          <w:rFonts w:eastAsiaTheme="majorEastAsia" w:cs="Times New Roman"/>
          <w:bCs/>
          <w:sz w:val="24"/>
          <w:szCs w:val="24"/>
          <w:lang w:val="fr-CH"/>
        </w:rPr>
        <w:t xml:space="preserve">, </w:t>
      </w:r>
      <w:proofErr w:type="spellStart"/>
      <w:r w:rsidRPr="0074138A">
        <w:rPr>
          <w:rFonts w:eastAsiaTheme="majorEastAsia" w:cs="Times New Roman"/>
          <w:bCs/>
          <w:sz w:val="24"/>
          <w:szCs w:val="24"/>
          <w:lang w:val="fr-CH"/>
        </w:rPr>
        <w:t>dbSNP</w:t>
      </w:r>
      <w:proofErr w:type="spellEnd"/>
      <w:r w:rsidRPr="0074138A">
        <w:rPr>
          <w:rFonts w:eastAsiaTheme="majorEastAsia" w:cs="Times New Roman"/>
          <w:bCs/>
          <w:sz w:val="24"/>
          <w:szCs w:val="24"/>
          <w:lang w:val="fr-CH"/>
        </w:rPr>
        <w:t xml:space="preserve"> identifier</w:t>
      </w:r>
      <w:r w:rsidRPr="0074138A">
        <w:rPr>
          <w:rFonts w:eastAsiaTheme="majorEastAsia" w:cs="Times New Roman"/>
          <w:bCs/>
          <w:sz w:val="24"/>
          <w:szCs w:val="24"/>
        </w:rPr>
        <w:fldChar w:fldCharType="begin"/>
      </w:r>
      <w:r w:rsidRPr="0074138A">
        <w:rPr>
          <w:rFonts w:eastAsiaTheme="majorEastAsia" w:cs="Times New Roman"/>
          <w:bCs/>
          <w:sz w:val="24"/>
          <w:szCs w:val="24"/>
          <w:lang w:val="fr-CH"/>
        </w:rPr>
        <w:instrText xml:space="preserve"> ADDIN ZOTERO_ITEM CSL_CITATION {"citationID":"ld3rqa0d3","properties":{"formattedCitation":"{\\rtf \\super 85\\nosupersub{}}","plainCitation":"85"},"citationItems":[{"id":1119,"uris":["http://zotero.org/users/local/p20pxH9x/items/Z64A2S3R"],"uri":["http://zotero.org/users/local/p20pxH9x/items/Z64A2S3R"],"itemData":{"id":1119,"type":"article-journal","title":"dbSNP: the NCBI database of genetic variation","container-title":"Nucleic acids research","page":"308-311","volume":"29","issue":"1","source":"NCBI PubMed","abstract":"In response to a need for a general catalog of genome variation to address the large-scale sampling designs required by association studies, gene mapping and evolutionary biology, the National Center for Biotechnology Information (NCBI) has established the dbSNP database [S.T.Sherry, M.Ward and K. Sirotkin (1999) Genome Res., 9, 677-679]. Submissions to dbSNP will be integrated with other sources of information at NCBI such as GenBank, PubMed, LocusLink and the Human Genome Project data. The complete contents of dbSNP are available to the public at website: http://www.ncbi.nlm.nih.gov/SNP. The complete contents of dbSNP can also be downloaded in multiple formats via anonymous FTP at ftp://ncbi.nlm.nih.gov/snp/.","ISSN":"1362-4962","note":"PMID: 11125122 \nPMCID: PMC29783","shortTitle":"dbSNP","journalAbbreviation":"Nucleic Acids Res.","language":"eng","author":[{"family":"Sherry","given":"S T"},{"family":"Ward","given":"M H"},{"family":"Kholodov","given":"M"},{"family":"Baker","given":"J"},{"family":"Phan","given":"L"},{"family":"Smigielski","given":"E M"},{"family":"Sirotkin","given":"K"}],"issued":{"date-parts":[["2001",1,1]]},"PMID":"11125122","PMCID":"PMC29783"}}],"schema":"https://github.com/citation-style-language/schema/raw/master/csl-citation.json"} </w:instrText>
      </w:r>
      <w:r w:rsidRPr="0074138A">
        <w:rPr>
          <w:rFonts w:eastAsiaTheme="majorEastAsia" w:cs="Times New Roman"/>
          <w:bCs/>
          <w:sz w:val="24"/>
          <w:szCs w:val="24"/>
        </w:rPr>
        <w:fldChar w:fldCharType="separate"/>
      </w:r>
      <w:r w:rsidRPr="0074138A">
        <w:rPr>
          <w:rFonts w:ascii="Calibri" w:hAnsi="Calibri" w:cs="Times New Roman"/>
          <w:sz w:val="24"/>
          <w:szCs w:val="24"/>
          <w:vertAlign w:val="superscript"/>
        </w:rPr>
        <w:t>85</w:t>
      </w:r>
      <w:r w:rsidRPr="0074138A">
        <w:rPr>
          <w:rFonts w:eastAsiaTheme="majorEastAsia" w:cs="Times New Roman"/>
          <w:bCs/>
          <w:sz w:val="24"/>
          <w:szCs w:val="24"/>
        </w:rPr>
        <w:fldChar w:fldCharType="end"/>
      </w:r>
      <w:r w:rsidRPr="0074138A">
        <w:rPr>
          <w:rFonts w:eastAsiaTheme="majorEastAsia" w:cs="Times New Roman"/>
          <w:bCs/>
          <w:sz w:val="24"/>
          <w:szCs w:val="24"/>
          <w:lang w:val="fr-CH"/>
        </w:rPr>
        <w:t xml:space="preserve">, and PolyPhen-2 </w:t>
      </w:r>
      <w:r w:rsidRPr="0074138A">
        <w:rPr>
          <w:rFonts w:eastAsiaTheme="majorEastAsia" w:cs="Times New Roman"/>
          <w:bCs/>
          <w:sz w:val="24"/>
          <w:szCs w:val="24"/>
        </w:rPr>
        <w:fldChar w:fldCharType="begin"/>
      </w:r>
      <w:r w:rsidRPr="0074138A">
        <w:rPr>
          <w:rFonts w:eastAsiaTheme="majorEastAsia" w:cs="Times New Roman"/>
          <w:bCs/>
          <w:sz w:val="24"/>
          <w:szCs w:val="24"/>
          <w:lang w:val="fr-CH"/>
        </w:rPr>
        <w:instrText xml:space="preserve"> ADDIN ZOTERO_ITEM CSL_CITATION {"citationID":"2at7ftq2ia","properties":{"formattedCitation":"{\\rtf \\super 86\\nosupersub{}}","plainCitation":"86"},"citationItems":[{"id":1121,"uris":["http://zotero.org/users/local/p20pxH9x/items/CPERUT95"],"uri":["http://zotero.org/users/local/p20pxH9x/items/CPERUT95"],"itemData":{"id":1121,"type":"article-journal","title":"A method and server for predicting damaging missense mutations","container-title":"Nature methods","page":"248-249","volume":"7","issue":"4","source":"NCBI PubMed","DOI":"10.1038/nmeth0410-248","ISSN":"1548-7105","note":"PMID: 20354512 \nPMCID: PMC2855889","journalAbbreviation":"Nat. Methods","language":"eng","author":[{"family":"Adzhubei","given":"Ivan A"},{"family":"Schmidt","given":"Steffen"},{"family":"Peshkin","given":"Leonid"},{"family":"Ramensky","given":"Vasily E"},{"family":"Gerasimova","given":"Anna"},{"family":"Bork","given":"Peer"},{"family":"Kondrashov","given":"Alexey S"},{"family":"Sunyaev","given":"Shamil R"}],"issued":{"date-parts":[["2010",4]]},"PMID":"20354512","PMCID":"PMC2855889"}}],"schema":"https://github.com/citation-style-language/schema/raw/master/csl-citation.json"} </w:instrText>
      </w:r>
      <w:r w:rsidRPr="0074138A">
        <w:rPr>
          <w:rFonts w:eastAsiaTheme="majorEastAsia" w:cs="Times New Roman"/>
          <w:bCs/>
          <w:sz w:val="24"/>
          <w:szCs w:val="24"/>
        </w:rPr>
        <w:fldChar w:fldCharType="separate"/>
      </w:r>
      <w:r w:rsidRPr="0074138A">
        <w:rPr>
          <w:rFonts w:ascii="Calibri" w:hAnsi="Calibri" w:cs="Times New Roman"/>
          <w:sz w:val="24"/>
          <w:szCs w:val="24"/>
          <w:vertAlign w:val="superscript"/>
        </w:rPr>
        <w:t>86</w:t>
      </w:r>
      <w:r w:rsidRPr="0074138A">
        <w:rPr>
          <w:rFonts w:eastAsiaTheme="majorEastAsia" w:cs="Times New Roman"/>
          <w:bCs/>
          <w:sz w:val="24"/>
          <w:szCs w:val="24"/>
        </w:rPr>
        <w:fldChar w:fldCharType="end"/>
      </w:r>
      <w:r w:rsidRPr="0074138A">
        <w:rPr>
          <w:rFonts w:eastAsiaTheme="majorEastAsia" w:cs="Times New Roman"/>
          <w:bCs/>
          <w:sz w:val="24"/>
          <w:szCs w:val="24"/>
          <w:lang w:val="fr-CH"/>
        </w:rPr>
        <w:t xml:space="preserve"> and SIFT </w:t>
      </w:r>
      <w:r w:rsidRPr="0074138A">
        <w:rPr>
          <w:rFonts w:eastAsiaTheme="majorEastAsia" w:cs="Times New Roman"/>
          <w:bCs/>
          <w:sz w:val="24"/>
          <w:szCs w:val="24"/>
        </w:rPr>
        <w:fldChar w:fldCharType="begin"/>
      </w:r>
      <w:r w:rsidRPr="0074138A">
        <w:rPr>
          <w:rFonts w:eastAsiaTheme="majorEastAsia" w:cs="Times New Roman"/>
          <w:bCs/>
          <w:sz w:val="24"/>
          <w:szCs w:val="24"/>
          <w:lang w:val="fr-CH"/>
        </w:rPr>
        <w:instrText xml:space="preserve"> ADDIN ZOTERO_ITEM CSL_CITATION {"citationID":"158opvp1ul","properties":{"formattedCitation":"{\\rtf \\super 87\\nosupersub{}}","plainCitation":"87"},"citationItems":[{"id":1125,"uris":["http://zotero.org/users/local/p20pxH9x/items/I78M3DXS"],"uri":["http://zotero.org/users/local/p20pxH9x/items/I78M3DXS"],"itemData":{"id":1125,"type":"article-journal","title":"Predicting the effects of coding non-synonymous variants on protein function using the SIFT algorithm","container-title":"Nature protocols","page":"1073-1081","volume":"4","issue":"7","source":"NCBI PubMed","abstract":"The effect of genetic mutation on phenotype is of significant interest in genetics. The type of genetic mutation that causes a single amino acid substitution (AAS) in a protein sequence is called a non-synonymous single nucleotide polymorphism (nsSNP). An nsSNP could potentially affect the function of the protein, subsequently altering the carrier's phenotype. This protocol describes the use of the 'Sorting Tolerant From Intolerant' (SIFT) algorithm in predicting whether an AAS affects protein function. To assess the effect of a substitution, SIFT assumes that important positions in a protein sequence have been conserved throughout evolution and therefore substitutions at these positions may affect protein function. Thus, by using sequence homology, SIFT predicts the effects of all possible substitutions at each position in the protein sequence. The protocol typically takes 5-20 min, depending on the input. SIFT is available as an online tool (http://sift.jcvi.org).","DOI":"10.1038/nprot.2009.86","ISSN":"1750-2799","note":"PMID: 19561590","journalAbbreviation":"Nat Protoc","language":"eng","author":[{"family":"Kumar","given":"Prateek"},{"family":"Henikoff","given":"Steven"},{"family":"Ng","given":"Pauline C"}],"issued":{"date-parts":[["2009"]]},"PMID":"19561590"}}],"schema":"https://github.com/citation-style-language/schema/raw/master/csl-citation.json"} </w:instrText>
      </w:r>
      <w:r w:rsidRPr="0074138A">
        <w:rPr>
          <w:rFonts w:eastAsiaTheme="majorEastAsia" w:cs="Times New Roman"/>
          <w:bCs/>
          <w:sz w:val="24"/>
          <w:szCs w:val="24"/>
        </w:rPr>
        <w:fldChar w:fldCharType="separate"/>
      </w:r>
      <w:r w:rsidRPr="0074138A">
        <w:rPr>
          <w:rFonts w:ascii="Calibri" w:hAnsi="Calibri" w:cs="Times New Roman"/>
          <w:sz w:val="24"/>
          <w:szCs w:val="24"/>
          <w:vertAlign w:val="superscript"/>
        </w:rPr>
        <w:t>87</w:t>
      </w:r>
      <w:r w:rsidRPr="0074138A">
        <w:rPr>
          <w:rFonts w:eastAsiaTheme="majorEastAsia" w:cs="Times New Roman"/>
          <w:bCs/>
          <w:sz w:val="24"/>
          <w:szCs w:val="24"/>
        </w:rPr>
        <w:fldChar w:fldCharType="end"/>
      </w:r>
      <w:r w:rsidR="007A559E">
        <w:rPr>
          <w:rFonts w:eastAsiaTheme="majorEastAsia" w:cs="Times New Roman"/>
          <w:bCs/>
          <w:sz w:val="24"/>
          <w:szCs w:val="24"/>
        </w:rPr>
        <w:t xml:space="preserve"> functional</w:t>
      </w:r>
      <w:bookmarkStart w:id="0" w:name="_GoBack"/>
      <w:bookmarkEnd w:id="0"/>
      <w:r w:rsidR="007A559E">
        <w:rPr>
          <w:rFonts w:eastAsiaTheme="majorEastAsia" w:cs="Times New Roman"/>
          <w:bCs/>
          <w:sz w:val="24"/>
          <w:szCs w:val="24"/>
        </w:rPr>
        <w:t xml:space="preserve"> </w:t>
      </w:r>
      <w:r w:rsidRPr="0074138A">
        <w:rPr>
          <w:rFonts w:eastAsiaTheme="majorEastAsia" w:cs="Times New Roman"/>
          <w:bCs/>
          <w:sz w:val="24"/>
          <w:szCs w:val="24"/>
        </w:rPr>
        <w:t>predictions.</w:t>
      </w:r>
    </w:p>
    <w:p w:rsidR="008E2C16" w:rsidRPr="00383E2B" w:rsidRDefault="008E2C16" w:rsidP="008E2C16">
      <w:pPr>
        <w:widowControl w:val="0"/>
        <w:autoSpaceDE w:val="0"/>
        <w:autoSpaceDN w:val="0"/>
        <w:adjustRightInd w:val="0"/>
        <w:spacing w:after="0" w:line="360" w:lineRule="auto"/>
        <w:ind w:right="70"/>
        <w:jc w:val="both"/>
        <w:rPr>
          <w:rFonts w:eastAsiaTheme="minorEastAsia" w:cs="Calibri"/>
          <w:iCs/>
          <w:color w:val="000000"/>
          <w:sz w:val="24"/>
          <w:szCs w:val="24"/>
        </w:rPr>
        <w:sectPr w:rsidR="008E2C16" w:rsidRPr="00383E2B" w:rsidSect="008E2C16">
          <w:pgSz w:w="16838" w:h="11906" w:orient="landscape"/>
          <w:pgMar w:top="1440" w:right="1440" w:bottom="1440" w:left="1440" w:header="709" w:footer="709" w:gutter="0"/>
          <w:cols w:space="708"/>
          <w:docGrid w:linePitch="360"/>
        </w:sectPr>
      </w:pPr>
    </w:p>
    <w:p w:rsidR="008E2C16" w:rsidRDefault="008E2C16" w:rsidP="008E2C16">
      <w:pPr>
        <w:pStyle w:val="Literaturverzeichnis"/>
      </w:pPr>
      <w:r w:rsidRPr="00407F10">
        <w:lastRenderedPageBreak/>
        <w:fldChar w:fldCharType="begin"/>
      </w:r>
      <w:r>
        <w:rPr>
          <w:lang w:val="fr-CH"/>
        </w:rPr>
        <w:instrText xml:space="preserve"> ADDIN ZOTERO_BIBL {"custom":[]} CSL_BIBLIOGRAPHY </w:instrText>
      </w:r>
      <w:r w:rsidRPr="00407F10">
        <w:fldChar w:fldCharType="separate"/>
      </w:r>
      <w:r>
        <w:t>1.</w:t>
      </w:r>
      <w:r>
        <w:tab/>
        <w:t xml:space="preserve">Moss, M. L. </w:t>
      </w:r>
      <w:r>
        <w:rPr>
          <w:i/>
          <w:iCs/>
        </w:rPr>
        <w:t>et al.</w:t>
      </w:r>
      <w:r>
        <w:t xml:space="preserve"> ADAM9 inhibition increases membrane activity of ADAM10 and controls α-secretase processing of amyloid precursor protein. </w:t>
      </w:r>
      <w:r>
        <w:rPr>
          <w:i/>
          <w:iCs/>
        </w:rPr>
        <w:t>J. Biol. Chem.</w:t>
      </w:r>
      <w:r>
        <w:t xml:space="preserve"> </w:t>
      </w:r>
      <w:r>
        <w:rPr>
          <w:b/>
          <w:bCs/>
        </w:rPr>
        <w:t>286,</w:t>
      </w:r>
      <w:r>
        <w:t xml:space="preserve"> 40443–40451 (2011).</w:t>
      </w:r>
    </w:p>
    <w:p w:rsidR="008E2C16" w:rsidRDefault="008E2C16" w:rsidP="008E2C16">
      <w:pPr>
        <w:pStyle w:val="Literaturverzeichnis"/>
      </w:pPr>
      <w:r>
        <w:t>2.</w:t>
      </w:r>
      <w:r>
        <w:tab/>
        <w:t xml:space="preserve">Allinson, T. M. J., Parkin, E. T., Turner, A. J. &amp; Hooper, N. M. ADAMs family members as amyloid precursor protein alpha-secretases. </w:t>
      </w:r>
      <w:r>
        <w:rPr>
          <w:i/>
          <w:iCs/>
        </w:rPr>
        <w:t>J. Neurosci. Res.</w:t>
      </w:r>
      <w:r>
        <w:t xml:space="preserve"> </w:t>
      </w:r>
      <w:r>
        <w:rPr>
          <w:b/>
          <w:bCs/>
        </w:rPr>
        <w:t>74,</w:t>
      </w:r>
      <w:r>
        <w:t xml:space="preserve"> 342–352 (2003).</w:t>
      </w:r>
    </w:p>
    <w:p w:rsidR="008E2C16" w:rsidRDefault="008E2C16" w:rsidP="008E2C16">
      <w:pPr>
        <w:pStyle w:val="Literaturverzeichnis"/>
      </w:pPr>
      <w:r>
        <w:t>3.</w:t>
      </w:r>
      <w:r>
        <w:tab/>
        <w:t xml:space="preserve">Asai, M. </w:t>
      </w:r>
      <w:r>
        <w:rPr>
          <w:i/>
          <w:iCs/>
        </w:rPr>
        <w:t>et al.</w:t>
      </w:r>
      <w:r>
        <w:t xml:space="preserve"> Putative function of ADAM9, ADAM10, and ADAM17 as APP alpha-secretase. </w:t>
      </w:r>
      <w:r>
        <w:rPr>
          <w:i/>
          <w:iCs/>
        </w:rPr>
        <w:t>Biochem. Biophys. Res. Commun.</w:t>
      </w:r>
      <w:r>
        <w:t xml:space="preserve"> </w:t>
      </w:r>
      <w:r>
        <w:rPr>
          <w:b/>
          <w:bCs/>
        </w:rPr>
        <w:t>301,</w:t>
      </w:r>
      <w:r>
        <w:t xml:space="preserve"> 231–235 (2003).</w:t>
      </w:r>
    </w:p>
    <w:p w:rsidR="008E2C16" w:rsidRDefault="008E2C16" w:rsidP="008E2C16">
      <w:pPr>
        <w:pStyle w:val="Literaturverzeichnis"/>
      </w:pPr>
      <w:r>
        <w:t>4.</w:t>
      </w:r>
      <w:r>
        <w:tab/>
        <w:t xml:space="preserve">Suh, J. </w:t>
      </w:r>
      <w:r>
        <w:rPr>
          <w:i/>
          <w:iCs/>
        </w:rPr>
        <w:t>et al.</w:t>
      </w:r>
      <w:r>
        <w:t xml:space="preserve"> ADAM10 missense mutations potentiate β-amyloid accumulation by impairing prodomain chaperone function. </w:t>
      </w:r>
      <w:r>
        <w:rPr>
          <w:i/>
          <w:iCs/>
        </w:rPr>
        <w:t>Neuron</w:t>
      </w:r>
      <w:r>
        <w:t xml:space="preserve"> </w:t>
      </w:r>
      <w:r>
        <w:rPr>
          <w:b/>
          <w:bCs/>
        </w:rPr>
        <w:t>80,</w:t>
      </w:r>
      <w:r>
        <w:t xml:space="preserve"> 385–401 (2013).</w:t>
      </w:r>
    </w:p>
    <w:p w:rsidR="008E2C16" w:rsidRDefault="008E2C16" w:rsidP="008E2C16">
      <w:pPr>
        <w:pStyle w:val="Literaturverzeichnis"/>
      </w:pPr>
      <w:r>
        <w:t>5.</w:t>
      </w:r>
      <w:r>
        <w:tab/>
        <w:t xml:space="preserve">Sun, X., Tong, Y., Qing, H., Chen, C.-H. &amp; Song, W. Increased BACE1 maturation contributes to the pathogenesis of Alzheimer’s disease in Down syndrome. </w:t>
      </w:r>
      <w:r>
        <w:rPr>
          <w:i/>
          <w:iCs/>
        </w:rPr>
        <w:t>FASEB J. Off. Publ. Fed. Am. Soc. Exp. Biol.</w:t>
      </w:r>
      <w:r>
        <w:t xml:space="preserve"> </w:t>
      </w:r>
      <w:r>
        <w:rPr>
          <w:b/>
          <w:bCs/>
        </w:rPr>
        <w:t>20,</w:t>
      </w:r>
      <w:r>
        <w:t xml:space="preserve"> 1361–1368 (2006).</w:t>
      </w:r>
    </w:p>
    <w:p w:rsidR="008E2C16" w:rsidRDefault="008E2C16" w:rsidP="008E2C16">
      <w:pPr>
        <w:pStyle w:val="Literaturverzeichnis"/>
      </w:pPr>
      <w:r>
        <w:t>6.</w:t>
      </w:r>
      <w:r>
        <w:tab/>
        <w:t xml:space="preserve">Willem, M., Lammich, S. &amp; Haass, C. Function, regulation and therapeutic properties of beta-secretase (BACE1). </w:t>
      </w:r>
      <w:r>
        <w:rPr>
          <w:i/>
          <w:iCs/>
        </w:rPr>
        <w:t>Semin. Cell Dev. Biol.</w:t>
      </w:r>
      <w:r>
        <w:t xml:space="preserve"> </w:t>
      </w:r>
      <w:r>
        <w:rPr>
          <w:b/>
          <w:bCs/>
        </w:rPr>
        <w:t>20,</w:t>
      </w:r>
      <w:r>
        <w:t xml:space="preserve"> 175–182 (2009).</w:t>
      </w:r>
    </w:p>
    <w:p w:rsidR="008E2C16" w:rsidRDefault="008E2C16" w:rsidP="008E2C16">
      <w:pPr>
        <w:pStyle w:val="Literaturverzeichnis"/>
      </w:pPr>
      <w:r>
        <w:t>7.</w:t>
      </w:r>
      <w:r>
        <w:tab/>
        <w:t xml:space="preserve">Myllykangas, L. </w:t>
      </w:r>
      <w:r>
        <w:rPr>
          <w:i/>
          <w:iCs/>
        </w:rPr>
        <w:t>et al.</w:t>
      </w:r>
      <w:r>
        <w:t xml:space="preserve"> Chromosome 21 BACE2 haplotype associates with Alzheimer’s disease: a two-stage study. </w:t>
      </w:r>
      <w:r>
        <w:rPr>
          <w:i/>
          <w:iCs/>
        </w:rPr>
        <w:t>J. Neurol. Sci.</w:t>
      </w:r>
      <w:r>
        <w:t xml:space="preserve"> </w:t>
      </w:r>
      <w:r>
        <w:rPr>
          <w:b/>
          <w:bCs/>
        </w:rPr>
        <w:t>236,</w:t>
      </w:r>
      <w:r>
        <w:t xml:space="preserve"> 17–24 (2005).</w:t>
      </w:r>
    </w:p>
    <w:p w:rsidR="008E2C16" w:rsidRDefault="008E2C16" w:rsidP="008E2C16">
      <w:pPr>
        <w:pStyle w:val="Literaturverzeichnis"/>
      </w:pPr>
      <w:r>
        <w:t>8.</w:t>
      </w:r>
      <w:r>
        <w:tab/>
        <w:t xml:space="preserve">Farzan, M., Schnitzler, C. E., Vasilieva, N., Leung, D. &amp; Choe, H. BACE2, a beta -secretase homolog, cleaves at the beta site and within the amyloid-beta region of the amyloid-beta precursor protein. </w:t>
      </w:r>
      <w:r>
        <w:rPr>
          <w:i/>
          <w:iCs/>
        </w:rPr>
        <w:t>Proc. Natl. Acad. Sci. U. S. A.</w:t>
      </w:r>
      <w:r>
        <w:t xml:space="preserve"> </w:t>
      </w:r>
      <w:r>
        <w:rPr>
          <w:b/>
          <w:bCs/>
        </w:rPr>
        <w:t>97,</w:t>
      </w:r>
      <w:r>
        <w:t xml:space="preserve"> 9712–9717 (2000).</w:t>
      </w:r>
    </w:p>
    <w:p w:rsidR="008E2C16" w:rsidRDefault="008E2C16" w:rsidP="008E2C16">
      <w:pPr>
        <w:pStyle w:val="Literaturverzeichnis"/>
      </w:pPr>
      <w:r>
        <w:t>9.</w:t>
      </w:r>
      <w:r>
        <w:tab/>
        <w:t xml:space="preserve">Capell, A. </w:t>
      </w:r>
      <w:r>
        <w:rPr>
          <w:i/>
          <w:iCs/>
        </w:rPr>
        <w:t>et al.</w:t>
      </w:r>
      <w:r>
        <w:t xml:space="preserve"> Nicastrin interacts with gamma-secretase complex components via the N-terminal part of its transmembrane domain. </w:t>
      </w:r>
      <w:r>
        <w:rPr>
          <w:i/>
          <w:iCs/>
        </w:rPr>
        <w:t>J. Biol. Chem.</w:t>
      </w:r>
      <w:r>
        <w:t xml:space="preserve"> </w:t>
      </w:r>
      <w:r>
        <w:rPr>
          <w:b/>
          <w:bCs/>
        </w:rPr>
        <w:t>278,</w:t>
      </w:r>
      <w:r>
        <w:t xml:space="preserve"> 52519–52523 (2003).</w:t>
      </w:r>
    </w:p>
    <w:p w:rsidR="008E2C16" w:rsidRDefault="008E2C16" w:rsidP="008E2C16">
      <w:pPr>
        <w:pStyle w:val="Literaturverzeichnis"/>
      </w:pPr>
      <w:r>
        <w:t>10.</w:t>
      </w:r>
      <w:r>
        <w:tab/>
        <w:t xml:space="preserve">Shirotani, K. </w:t>
      </w:r>
      <w:r>
        <w:rPr>
          <w:i/>
          <w:iCs/>
        </w:rPr>
        <w:t>et al.</w:t>
      </w:r>
      <w:r>
        <w:t xml:space="preserve"> Gamma-secretase activity is associated with a conformational change of nicastrin. </w:t>
      </w:r>
      <w:r>
        <w:rPr>
          <w:i/>
          <w:iCs/>
        </w:rPr>
        <w:t>J. Biol. Chem.</w:t>
      </w:r>
      <w:r>
        <w:t xml:space="preserve"> </w:t>
      </w:r>
      <w:r>
        <w:rPr>
          <w:b/>
          <w:bCs/>
        </w:rPr>
        <w:t>278,</w:t>
      </w:r>
      <w:r>
        <w:t xml:space="preserve"> 16474–16477 (2003).</w:t>
      </w:r>
    </w:p>
    <w:p w:rsidR="008E2C16" w:rsidRDefault="008E2C16" w:rsidP="008E2C16">
      <w:pPr>
        <w:pStyle w:val="Literaturverzeichnis"/>
      </w:pPr>
      <w:r>
        <w:t>11.</w:t>
      </w:r>
      <w:r>
        <w:tab/>
        <w:t xml:space="preserve">Edbauer, D. </w:t>
      </w:r>
      <w:r>
        <w:rPr>
          <w:i/>
          <w:iCs/>
        </w:rPr>
        <w:t>et al.</w:t>
      </w:r>
      <w:r>
        <w:t xml:space="preserve"> Reconstitution of gamma-secretase activity. </w:t>
      </w:r>
      <w:r>
        <w:rPr>
          <w:i/>
          <w:iCs/>
        </w:rPr>
        <w:t>Nat. Cell Biol.</w:t>
      </w:r>
      <w:r>
        <w:t xml:space="preserve"> </w:t>
      </w:r>
      <w:r>
        <w:rPr>
          <w:b/>
          <w:bCs/>
        </w:rPr>
        <w:t>5,</w:t>
      </w:r>
      <w:r>
        <w:t xml:space="preserve"> 486–488 (2003).</w:t>
      </w:r>
    </w:p>
    <w:p w:rsidR="008E2C16" w:rsidRDefault="008E2C16" w:rsidP="008E2C16">
      <w:pPr>
        <w:pStyle w:val="Literaturverzeichnis"/>
      </w:pPr>
      <w:r>
        <w:t>12.</w:t>
      </w:r>
      <w:r>
        <w:tab/>
        <w:t xml:space="preserve">Steiner, H. </w:t>
      </w:r>
      <w:r>
        <w:rPr>
          <w:i/>
          <w:iCs/>
        </w:rPr>
        <w:t>et al.</w:t>
      </w:r>
      <w:r>
        <w:t xml:space="preserve"> PEN-2 is an integral component of the gamma-secretase complex required for coordinated expression of presenilin and nicastrin. </w:t>
      </w:r>
      <w:r>
        <w:rPr>
          <w:i/>
          <w:iCs/>
        </w:rPr>
        <w:t>J. Biol. Chem.</w:t>
      </w:r>
      <w:r>
        <w:t xml:space="preserve"> </w:t>
      </w:r>
      <w:r>
        <w:rPr>
          <w:b/>
          <w:bCs/>
        </w:rPr>
        <w:t>277,</w:t>
      </w:r>
      <w:r>
        <w:t xml:space="preserve"> 39062–39065 (2002).</w:t>
      </w:r>
    </w:p>
    <w:p w:rsidR="008E2C16" w:rsidRDefault="008E2C16" w:rsidP="008E2C16">
      <w:pPr>
        <w:pStyle w:val="Literaturverzeichnis"/>
      </w:pPr>
      <w:r>
        <w:t>13.</w:t>
      </w:r>
      <w:r>
        <w:tab/>
        <w:t xml:space="preserve">Serneels, L. </w:t>
      </w:r>
      <w:r>
        <w:rPr>
          <w:i/>
          <w:iCs/>
        </w:rPr>
        <w:t>et al.</w:t>
      </w:r>
      <w:r>
        <w:t xml:space="preserve"> gamma-Secretase heterogeneity in the Aph1 subunit: relevance for Alzheimer’s disease. </w:t>
      </w:r>
      <w:r>
        <w:rPr>
          <w:i/>
          <w:iCs/>
        </w:rPr>
        <w:t>Science</w:t>
      </w:r>
      <w:r>
        <w:t xml:space="preserve"> </w:t>
      </w:r>
      <w:r>
        <w:rPr>
          <w:b/>
          <w:bCs/>
        </w:rPr>
        <w:t>324,</w:t>
      </w:r>
      <w:r>
        <w:t xml:space="preserve"> 639–642 (2009).</w:t>
      </w:r>
    </w:p>
    <w:p w:rsidR="008E2C16" w:rsidRDefault="008E2C16" w:rsidP="008E2C16">
      <w:pPr>
        <w:pStyle w:val="Literaturverzeichnis"/>
      </w:pPr>
      <w:r>
        <w:t>14.</w:t>
      </w:r>
      <w:r>
        <w:tab/>
        <w:t xml:space="preserve">Yanagida, K. </w:t>
      </w:r>
      <w:r>
        <w:rPr>
          <w:i/>
          <w:iCs/>
        </w:rPr>
        <w:t>et al.</w:t>
      </w:r>
      <w:r>
        <w:t xml:space="preserve"> The 28-amino acid form of an APLP1-derived Abeta-like peptide is a surrogate marker for Abeta42 production in the central nervous system. </w:t>
      </w:r>
      <w:r>
        <w:rPr>
          <w:i/>
          <w:iCs/>
        </w:rPr>
        <w:t>EMBO Mol. Med.</w:t>
      </w:r>
      <w:r>
        <w:t xml:space="preserve"> </w:t>
      </w:r>
      <w:r>
        <w:rPr>
          <w:b/>
          <w:bCs/>
        </w:rPr>
        <w:t>1,</w:t>
      </w:r>
      <w:r>
        <w:t xml:space="preserve"> 223–235 (2009).</w:t>
      </w:r>
    </w:p>
    <w:p w:rsidR="008E2C16" w:rsidRDefault="008E2C16" w:rsidP="008E2C16">
      <w:pPr>
        <w:pStyle w:val="Literaturverzeichnis"/>
      </w:pPr>
      <w:r>
        <w:t>15.</w:t>
      </w:r>
      <w:r>
        <w:tab/>
        <w:t xml:space="preserve">Neumann, S. </w:t>
      </w:r>
      <w:r>
        <w:rPr>
          <w:i/>
          <w:iCs/>
        </w:rPr>
        <w:t>et al.</w:t>
      </w:r>
      <w:r>
        <w:t xml:space="preserve"> Amyloid precursor-like protein 1 influences endocytosis and proteolytic processing of the amyloid precursor protein. </w:t>
      </w:r>
      <w:r>
        <w:rPr>
          <w:i/>
          <w:iCs/>
        </w:rPr>
        <w:t>J. Biol. Chem.</w:t>
      </w:r>
      <w:r>
        <w:t xml:space="preserve"> </w:t>
      </w:r>
      <w:r>
        <w:rPr>
          <w:b/>
          <w:bCs/>
        </w:rPr>
        <w:t>281,</w:t>
      </w:r>
      <w:r>
        <w:t xml:space="preserve"> 7583–7594 (2006).</w:t>
      </w:r>
    </w:p>
    <w:p w:rsidR="008E2C16" w:rsidRDefault="008E2C16" w:rsidP="008E2C16">
      <w:pPr>
        <w:pStyle w:val="Literaturverzeichnis"/>
      </w:pPr>
      <w:r>
        <w:t>16.</w:t>
      </w:r>
      <w:r>
        <w:tab/>
        <w:t xml:space="preserve">Matos, M. F. </w:t>
      </w:r>
      <w:r>
        <w:rPr>
          <w:i/>
          <w:iCs/>
        </w:rPr>
        <w:t>et al.</w:t>
      </w:r>
      <w:r>
        <w:t xml:space="preserve"> Autoinhibition of Mint1 adaptor protein regulates amyloid precursor protein binding and processing. </w:t>
      </w:r>
      <w:r>
        <w:rPr>
          <w:i/>
          <w:iCs/>
        </w:rPr>
        <w:t>Proc. Natl. Acad. Sci. U. S. A.</w:t>
      </w:r>
      <w:r>
        <w:t xml:space="preserve"> </w:t>
      </w:r>
      <w:r>
        <w:rPr>
          <w:b/>
          <w:bCs/>
        </w:rPr>
        <w:t>109,</w:t>
      </w:r>
      <w:r>
        <w:t xml:space="preserve"> 3802–3807 (2012).</w:t>
      </w:r>
    </w:p>
    <w:p w:rsidR="008E2C16" w:rsidRDefault="008E2C16" w:rsidP="008E2C16">
      <w:pPr>
        <w:pStyle w:val="Literaturverzeichnis"/>
      </w:pPr>
      <w:r>
        <w:t>17.</w:t>
      </w:r>
      <w:r>
        <w:tab/>
        <w:t xml:space="preserve">Xie, Z., Romano, D. M. &amp; Tanzi, R. E. RNA interference-mediated silencing of X11alpha and X11beta attenuates amyloid beta-protein levels via differential effects on beta-amyloid precursor protein processing. </w:t>
      </w:r>
      <w:r>
        <w:rPr>
          <w:i/>
          <w:iCs/>
        </w:rPr>
        <w:t>J. Biol. Chem.</w:t>
      </w:r>
      <w:r>
        <w:t xml:space="preserve"> </w:t>
      </w:r>
      <w:r>
        <w:rPr>
          <w:b/>
          <w:bCs/>
        </w:rPr>
        <w:t>280,</w:t>
      </w:r>
      <w:r>
        <w:t xml:space="preserve"> 15413–15421 (2005).</w:t>
      </w:r>
    </w:p>
    <w:p w:rsidR="008E2C16" w:rsidRDefault="008E2C16" w:rsidP="008E2C16">
      <w:pPr>
        <w:pStyle w:val="Literaturverzeichnis"/>
      </w:pPr>
      <w:r>
        <w:lastRenderedPageBreak/>
        <w:t>18.</w:t>
      </w:r>
      <w:r>
        <w:tab/>
        <w:t xml:space="preserve">Lee, J.-H. </w:t>
      </w:r>
      <w:r>
        <w:rPr>
          <w:i/>
          <w:iCs/>
        </w:rPr>
        <w:t>et al.</w:t>
      </w:r>
      <w:r>
        <w:t xml:space="preserve"> The neuronal adaptor protein X11alpha reduces Abeta levels in the brains of Alzheimer’s APPswe Tg2576 transgenic mice. </w:t>
      </w:r>
      <w:r>
        <w:rPr>
          <w:i/>
          <w:iCs/>
        </w:rPr>
        <w:t>J. Biol. Chem.</w:t>
      </w:r>
      <w:r>
        <w:t xml:space="preserve"> </w:t>
      </w:r>
      <w:r>
        <w:rPr>
          <w:b/>
          <w:bCs/>
        </w:rPr>
        <w:t>278,</w:t>
      </w:r>
      <w:r>
        <w:t xml:space="preserve"> 47025–47029 (2003).</w:t>
      </w:r>
    </w:p>
    <w:p w:rsidR="008E2C16" w:rsidRDefault="008E2C16" w:rsidP="008E2C16">
      <w:pPr>
        <w:pStyle w:val="Literaturverzeichnis"/>
      </w:pPr>
      <w:r>
        <w:t>19.</w:t>
      </w:r>
      <w:r>
        <w:tab/>
        <w:t xml:space="preserve">Reitz, C., Conrad, C., Roszkowski, K., Rogers, R. S. &amp; Mayeux, R. Effect of genetic variation in LRRTM3 on risk of Alzheimer disease. </w:t>
      </w:r>
      <w:r>
        <w:rPr>
          <w:i/>
          <w:iCs/>
        </w:rPr>
        <w:t>Arch. Neurol.</w:t>
      </w:r>
      <w:r>
        <w:t xml:space="preserve"> </w:t>
      </w:r>
      <w:r>
        <w:rPr>
          <w:b/>
          <w:bCs/>
        </w:rPr>
        <w:t>69,</w:t>
      </w:r>
      <w:r>
        <w:t xml:space="preserve"> 894–900 (2012).</w:t>
      </w:r>
    </w:p>
    <w:p w:rsidR="008E2C16" w:rsidRDefault="008E2C16" w:rsidP="008E2C16">
      <w:pPr>
        <w:pStyle w:val="Literaturverzeichnis"/>
      </w:pPr>
      <w:r>
        <w:t>20.</w:t>
      </w:r>
      <w:r>
        <w:tab/>
        <w:t xml:space="preserve">Majercak, J. </w:t>
      </w:r>
      <w:r>
        <w:rPr>
          <w:i/>
          <w:iCs/>
        </w:rPr>
        <w:t>et al.</w:t>
      </w:r>
      <w:r>
        <w:t xml:space="preserve"> LRRTM3 promotes processing of amyloid-precursor protein by BACE1 and is a positional candidate gene for late-onset Alzheimer’s disease. </w:t>
      </w:r>
      <w:r>
        <w:rPr>
          <w:i/>
          <w:iCs/>
        </w:rPr>
        <w:t>Proc. Natl. Acad. Sci. U. S. A.</w:t>
      </w:r>
      <w:r>
        <w:t xml:space="preserve"> </w:t>
      </w:r>
      <w:r>
        <w:rPr>
          <w:b/>
          <w:bCs/>
        </w:rPr>
        <w:t>103,</w:t>
      </w:r>
      <w:r>
        <w:t xml:space="preserve"> 17967–17972 (2006).</w:t>
      </w:r>
    </w:p>
    <w:p w:rsidR="008E2C16" w:rsidRDefault="008E2C16" w:rsidP="008E2C16">
      <w:pPr>
        <w:pStyle w:val="Literaturverzeichnis"/>
      </w:pPr>
      <w:r>
        <w:t>21.</w:t>
      </w:r>
      <w:r>
        <w:tab/>
        <w:t xml:space="preserve">Thathiah, A. </w:t>
      </w:r>
      <w:r>
        <w:rPr>
          <w:i/>
          <w:iCs/>
        </w:rPr>
        <w:t>et al.</w:t>
      </w:r>
      <w:r>
        <w:t xml:space="preserve"> The orphan G protein-coupled receptor 3 modulates amyloid-beta peptide generation in neurons. </w:t>
      </w:r>
      <w:r>
        <w:rPr>
          <w:i/>
          <w:iCs/>
        </w:rPr>
        <w:t>Science</w:t>
      </w:r>
      <w:r>
        <w:t xml:space="preserve"> </w:t>
      </w:r>
      <w:r>
        <w:rPr>
          <w:b/>
          <w:bCs/>
        </w:rPr>
        <w:t>323,</w:t>
      </w:r>
      <w:r>
        <w:t xml:space="preserve"> 946–951 (2009).</w:t>
      </w:r>
    </w:p>
    <w:p w:rsidR="008E2C16" w:rsidRDefault="008E2C16" w:rsidP="008E2C16">
      <w:pPr>
        <w:pStyle w:val="Literaturverzeichnis"/>
      </w:pPr>
      <w:r>
        <w:t>22.</w:t>
      </w:r>
      <w:r>
        <w:tab/>
        <w:t xml:space="preserve">Costa, R., Gonçalves, A., Saraiva, M. J. &amp; Cardoso, I. Transthyretin binding to A-Beta peptide--impact on A-Beta fibrillogenesis and toxicity. </w:t>
      </w:r>
      <w:r>
        <w:rPr>
          <w:i/>
          <w:iCs/>
        </w:rPr>
        <w:t>FEBS Lett.</w:t>
      </w:r>
      <w:r>
        <w:t xml:space="preserve"> </w:t>
      </w:r>
      <w:r>
        <w:rPr>
          <w:b/>
          <w:bCs/>
        </w:rPr>
        <w:t>582,</w:t>
      </w:r>
      <w:r>
        <w:t xml:space="preserve"> 936–942 (2008).</w:t>
      </w:r>
    </w:p>
    <w:p w:rsidR="008E2C16" w:rsidRPr="006D37B2" w:rsidRDefault="008E2C16" w:rsidP="008E2C16">
      <w:pPr>
        <w:pStyle w:val="Literaturverzeichnis"/>
        <w:rPr>
          <w:lang w:val="de-DE"/>
        </w:rPr>
      </w:pPr>
      <w:r>
        <w:t>23.</w:t>
      </w:r>
      <w:r>
        <w:tab/>
        <w:t xml:space="preserve">Choi, S. H. </w:t>
      </w:r>
      <w:r>
        <w:rPr>
          <w:i/>
          <w:iCs/>
        </w:rPr>
        <w:t>et al.</w:t>
      </w:r>
      <w:r>
        <w:t xml:space="preserve"> Accelerated Abeta deposition in APPswe/PS1deltaE9 mice with hemizygous deletions of TTR (transthyretin). </w:t>
      </w:r>
      <w:r w:rsidRPr="006D37B2">
        <w:rPr>
          <w:i/>
          <w:iCs/>
          <w:lang w:val="de-DE"/>
        </w:rPr>
        <w:t>J. Neurosci. Off. J. Soc. Neurosci.</w:t>
      </w:r>
      <w:r w:rsidRPr="006D37B2">
        <w:rPr>
          <w:lang w:val="de-DE"/>
        </w:rPr>
        <w:t xml:space="preserve"> </w:t>
      </w:r>
      <w:r w:rsidRPr="006D37B2">
        <w:rPr>
          <w:b/>
          <w:bCs/>
          <w:lang w:val="de-DE"/>
        </w:rPr>
        <w:t>27,</w:t>
      </w:r>
      <w:r w:rsidRPr="006D37B2">
        <w:rPr>
          <w:lang w:val="de-DE"/>
        </w:rPr>
        <w:t xml:space="preserve"> 7006–7010 (2007).</w:t>
      </w:r>
    </w:p>
    <w:p w:rsidR="008E2C16" w:rsidRDefault="008E2C16" w:rsidP="008E2C16">
      <w:pPr>
        <w:pStyle w:val="Literaturverzeichnis"/>
      </w:pPr>
      <w:r w:rsidRPr="006D37B2">
        <w:rPr>
          <w:lang w:val="de-DE"/>
        </w:rPr>
        <w:t>24.</w:t>
      </w:r>
      <w:r w:rsidRPr="006D37B2">
        <w:rPr>
          <w:lang w:val="de-DE"/>
        </w:rPr>
        <w:tab/>
        <w:t xml:space="preserve">Schwarzman, A. L. </w:t>
      </w:r>
      <w:r w:rsidRPr="006D37B2">
        <w:rPr>
          <w:i/>
          <w:iCs/>
          <w:lang w:val="de-DE"/>
        </w:rPr>
        <w:t>et al.</w:t>
      </w:r>
      <w:r w:rsidRPr="006D37B2">
        <w:rPr>
          <w:lang w:val="de-DE"/>
        </w:rPr>
        <w:t xml:space="preserve"> </w:t>
      </w:r>
      <w:r>
        <w:t xml:space="preserve">Transthyretin sequesters amyloid beta protein and prevents amyloid formation. </w:t>
      </w:r>
      <w:r>
        <w:rPr>
          <w:i/>
          <w:iCs/>
        </w:rPr>
        <w:t>Proc. Natl. Acad. Sci. U. S. A.</w:t>
      </w:r>
      <w:r>
        <w:t xml:space="preserve"> </w:t>
      </w:r>
      <w:r>
        <w:rPr>
          <w:b/>
          <w:bCs/>
        </w:rPr>
        <w:t>91,</w:t>
      </w:r>
      <w:r>
        <w:t xml:space="preserve"> 8368–8372 (1994).</w:t>
      </w:r>
    </w:p>
    <w:p w:rsidR="008E2C16" w:rsidRDefault="008E2C16" w:rsidP="008E2C16">
      <w:pPr>
        <w:pStyle w:val="Literaturverzeichnis"/>
      </w:pPr>
      <w:r>
        <w:t>25.</w:t>
      </w:r>
      <w:r>
        <w:tab/>
        <w:t xml:space="preserve">Feulner, T. M. </w:t>
      </w:r>
      <w:r>
        <w:rPr>
          <w:i/>
          <w:iCs/>
        </w:rPr>
        <w:t>et al.</w:t>
      </w:r>
      <w:r>
        <w:t xml:space="preserve"> Examination of the current top candidate genes for AD in a genome-wide association study. </w:t>
      </w:r>
      <w:r>
        <w:rPr>
          <w:i/>
          <w:iCs/>
        </w:rPr>
        <w:t>Mol. Psychiatry</w:t>
      </w:r>
      <w:r>
        <w:t xml:space="preserve"> </w:t>
      </w:r>
      <w:r>
        <w:rPr>
          <w:b/>
          <w:bCs/>
        </w:rPr>
        <w:t>15,</w:t>
      </w:r>
      <w:r>
        <w:t xml:space="preserve"> 756–766 (2010).</w:t>
      </w:r>
    </w:p>
    <w:p w:rsidR="008E2C16" w:rsidRDefault="008E2C16" w:rsidP="008E2C16">
      <w:pPr>
        <w:pStyle w:val="Literaturverzeichnis"/>
      </w:pPr>
      <w:r>
        <w:t>26.</w:t>
      </w:r>
      <w:r>
        <w:tab/>
        <w:t xml:space="preserve">Lambert, J. C. </w:t>
      </w:r>
      <w:r>
        <w:rPr>
          <w:i/>
          <w:iCs/>
        </w:rPr>
        <w:t>et al.</w:t>
      </w:r>
      <w:r>
        <w:t xml:space="preserve"> Meta-analysis of 74,046 individuals identifies 11 new susceptibility loci for Alzheimer’s disease. </w:t>
      </w:r>
      <w:r>
        <w:rPr>
          <w:i/>
          <w:iCs/>
        </w:rPr>
        <w:t>Nat. Genet.</w:t>
      </w:r>
      <w:r>
        <w:t xml:space="preserve"> </w:t>
      </w:r>
      <w:r>
        <w:rPr>
          <w:b/>
          <w:bCs/>
        </w:rPr>
        <w:t>45,</w:t>
      </w:r>
      <w:r>
        <w:t xml:space="preserve"> 1452–1458 (2013).</w:t>
      </w:r>
    </w:p>
    <w:p w:rsidR="008E2C16" w:rsidRDefault="008E2C16" w:rsidP="008E2C16">
      <w:pPr>
        <w:pStyle w:val="Literaturverzeichnis"/>
      </w:pPr>
      <w:r>
        <w:t>27.</w:t>
      </w:r>
      <w:r>
        <w:tab/>
        <w:t xml:space="preserve">Rogaeva, E. </w:t>
      </w:r>
      <w:r>
        <w:rPr>
          <w:i/>
          <w:iCs/>
        </w:rPr>
        <w:t>et al.</w:t>
      </w:r>
      <w:r>
        <w:t xml:space="preserve"> The neuronal sortilin-related receptor SORL1 is genetically associated with Alzheimer disease. </w:t>
      </w:r>
      <w:r>
        <w:rPr>
          <w:i/>
          <w:iCs/>
        </w:rPr>
        <w:t>Nat. Genet.</w:t>
      </w:r>
      <w:r>
        <w:t xml:space="preserve"> </w:t>
      </w:r>
      <w:r>
        <w:rPr>
          <w:b/>
          <w:bCs/>
        </w:rPr>
        <w:t>39,</w:t>
      </w:r>
      <w:r>
        <w:t xml:space="preserve"> 168–177 (2007).</w:t>
      </w:r>
    </w:p>
    <w:p w:rsidR="008E2C16" w:rsidRDefault="008E2C16" w:rsidP="008E2C16">
      <w:pPr>
        <w:pStyle w:val="Literaturverzeichnis"/>
      </w:pPr>
      <w:r>
        <w:t>28.</w:t>
      </w:r>
      <w:r>
        <w:tab/>
        <w:t xml:space="preserve">Miyashita, A. </w:t>
      </w:r>
      <w:r>
        <w:rPr>
          <w:i/>
          <w:iCs/>
        </w:rPr>
        <w:t>et al.</w:t>
      </w:r>
      <w:r>
        <w:t xml:space="preserve"> SORL1 is genetically associated with late-onset Alzheimer’s disease in Japanese, Koreans and Caucasians. </w:t>
      </w:r>
      <w:r>
        <w:rPr>
          <w:i/>
          <w:iCs/>
        </w:rPr>
        <w:t>PloS One</w:t>
      </w:r>
      <w:r>
        <w:t xml:space="preserve"> </w:t>
      </w:r>
      <w:r>
        <w:rPr>
          <w:b/>
          <w:bCs/>
        </w:rPr>
        <w:t>8,</w:t>
      </w:r>
      <w:r>
        <w:t xml:space="preserve"> e58618 (2013).</w:t>
      </w:r>
    </w:p>
    <w:p w:rsidR="008E2C16" w:rsidRDefault="008E2C16" w:rsidP="008E2C16">
      <w:pPr>
        <w:pStyle w:val="Literaturverzeichnis"/>
      </w:pPr>
      <w:r>
        <w:t>29.</w:t>
      </w:r>
      <w:r>
        <w:tab/>
        <w:t xml:space="preserve">Tan, E. K. </w:t>
      </w:r>
      <w:r>
        <w:rPr>
          <w:i/>
          <w:iCs/>
        </w:rPr>
        <w:t>et al.</w:t>
      </w:r>
      <w:r>
        <w:t xml:space="preserve"> SORL1 haplotypes modulate risk of Alzheimer’s disease in Chinese. </w:t>
      </w:r>
      <w:r>
        <w:rPr>
          <w:i/>
          <w:iCs/>
        </w:rPr>
        <w:t>Neurobiol. Aging</w:t>
      </w:r>
      <w:r>
        <w:t xml:space="preserve"> </w:t>
      </w:r>
      <w:r>
        <w:rPr>
          <w:b/>
          <w:bCs/>
        </w:rPr>
        <w:t>30,</w:t>
      </w:r>
      <w:r>
        <w:t xml:space="preserve"> 1048–1051 (2009).</w:t>
      </w:r>
    </w:p>
    <w:p w:rsidR="008E2C16" w:rsidRDefault="008E2C16" w:rsidP="008E2C16">
      <w:pPr>
        <w:pStyle w:val="Literaturverzeichnis"/>
      </w:pPr>
      <w:r>
        <w:t>30.</w:t>
      </w:r>
      <w:r>
        <w:tab/>
        <w:t xml:space="preserve">Lee, J. H. </w:t>
      </w:r>
      <w:r>
        <w:rPr>
          <w:i/>
          <w:iCs/>
        </w:rPr>
        <w:t>et al.</w:t>
      </w:r>
      <w:r>
        <w:t xml:space="preserve"> The association between genetic variants in SORL1 and Alzheimer disease in an urban, multiethnic, community-based cohort. </w:t>
      </w:r>
      <w:r>
        <w:rPr>
          <w:i/>
          <w:iCs/>
        </w:rPr>
        <w:t>Arch. Neurol.</w:t>
      </w:r>
      <w:r>
        <w:t xml:space="preserve"> </w:t>
      </w:r>
      <w:r>
        <w:rPr>
          <w:b/>
          <w:bCs/>
        </w:rPr>
        <w:t>64,</w:t>
      </w:r>
      <w:r>
        <w:t xml:space="preserve"> 501–506 (2007).</w:t>
      </w:r>
    </w:p>
    <w:p w:rsidR="008E2C16" w:rsidRDefault="008E2C16" w:rsidP="008E2C16">
      <w:pPr>
        <w:pStyle w:val="Literaturverzeichnis"/>
      </w:pPr>
      <w:r>
        <w:t>31.</w:t>
      </w:r>
      <w:r>
        <w:tab/>
        <w:t xml:space="preserve">Pottier, C. </w:t>
      </w:r>
      <w:r>
        <w:rPr>
          <w:i/>
          <w:iCs/>
        </w:rPr>
        <w:t>et al.</w:t>
      </w:r>
      <w:r>
        <w:t xml:space="preserve"> High frequency of potentially pathogenic SORL1 mutations in autosomal dominant early-onset Alzheimer disease. </w:t>
      </w:r>
      <w:r>
        <w:rPr>
          <w:i/>
          <w:iCs/>
        </w:rPr>
        <w:t>Mol. Psychiatry</w:t>
      </w:r>
      <w:r>
        <w:t xml:space="preserve"> </w:t>
      </w:r>
      <w:r>
        <w:rPr>
          <w:b/>
          <w:bCs/>
        </w:rPr>
        <w:t>17,</w:t>
      </w:r>
      <w:r>
        <w:t xml:space="preserve"> 875–879 (2012).</w:t>
      </w:r>
    </w:p>
    <w:p w:rsidR="008E2C16" w:rsidRDefault="008E2C16" w:rsidP="008E2C16">
      <w:pPr>
        <w:pStyle w:val="Literaturverzeichnis"/>
      </w:pPr>
      <w:r>
        <w:t>32.</w:t>
      </w:r>
      <w:r>
        <w:tab/>
        <w:t xml:space="preserve">Yamazaki, H. </w:t>
      </w:r>
      <w:r>
        <w:rPr>
          <w:i/>
          <w:iCs/>
        </w:rPr>
        <w:t>et al.</w:t>
      </w:r>
      <w:r>
        <w:t xml:space="preserve"> Elements of neural adhesion molecules and a yeast vacuolar protein sorting receptor are present in a novel mammalian low density lipoprotein receptor family member. </w:t>
      </w:r>
      <w:r>
        <w:rPr>
          <w:i/>
          <w:iCs/>
        </w:rPr>
        <w:t>J. Biol. Chem.</w:t>
      </w:r>
      <w:r>
        <w:t xml:space="preserve"> </w:t>
      </w:r>
      <w:r>
        <w:rPr>
          <w:b/>
          <w:bCs/>
        </w:rPr>
        <w:t>271,</w:t>
      </w:r>
      <w:r>
        <w:t xml:space="preserve"> 24761–24768 (1996).</w:t>
      </w:r>
    </w:p>
    <w:p w:rsidR="008E2C16" w:rsidRDefault="008E2C16" w:rsidP="008E2C16">
      <w:pPr>
        <w:pStyle w:val="Literaturverzeichnis"/>
      </w:pPr>
      <w:r>
        <w:t>33.</w:t>
      </w:r>
      <w:r>
        <w:tab/>
        <w:t xml:space="preserve">Andersen, O. M. </w:t>
      </w:r>
      <w:r>
        <w:rPr>
          <w:i/>
          <w:iCs/>
        </w:rPr>
        <w:t>et al.</w:t>
      </w:r>
      <w:r>
        <w:t xml:space="preserve"> Neuronal sorting protein-related receptor sorLA/LR11 regulates processing of the amyloid precursor protein. </w:t>
      </w:r>
      <w:r>
        <w:rPr>
          <w:i/>
          <w:iCs/>
        </w:rPr>
        <w:t>Proc. Natl. Acad. Sci. U. S. A.</w:t>
      </w:r>
      <w:r>
        <w:t xml:space="preserve"> </w:t>
      </w:r>
      <w:r>
        <w:rPr>
          <w:b/>
          <w:bCs/>
        </w:rPr>
        <w:t>102,</w:t>
      </w:r>
      <w:r>
        <w:t xml:space="preserve"> 13461–13466 (2005).</w:t>
      </w:r>
    </w:p>
    <w:p w:rsidR="008E2C16" w:rsidRPr="003566F3" w:rsidRDefault="008E2C16" w:rsidP="008E2C16">
      <w:pPr>
        <w:pStyle w:val="Literaturverzeichnis"/>
        <w:rPr>
          <w:lang w:val="it-IT"/>
        </w:rPr>
      </w:pPr>
      <w:r>
        <w:t>34.</w:t>
      </w:r>
      <w:r>
        <w:tab/>
        <w:t xml:space="preserve">Offe, K. </w:t>
      </w:r>
      <w:r>
        <w:rPr>
          <w:i/>
          <w:iCs/>
        </w:rPr>
        <w:t>et al.</w:t>
      </w:r>
      <w:r>
        <w:t xml:space="preserve"> The lipoprotein receptor LR11 regulates amyloid beta production and amyloid precursor protein traffic in endosomal compartments. </w:t>
      </w:r>
      <w:r w:rsidRPr="003566F3">
        <w:rPr>
          <w:i/>
          <w:iCs/>
          <w:lang w:val="it-IT"/>
        </w:rPr>
        <w:t>J. Neurosci. Off. J. Soc. Neurosci.</w:t>
      </w:r>
      <w:r w:rsidRPr="003566F3">
        <w:rPr>
          <w:lang w:val="it-IT"/>
        </w:rPr>
        <w:t xml:space="preserve"> </w:t>
      </w:r>
      <w:r w:rsidRPr="003566F3">
        <w:rPr>
          <w:b/>
          <w:bCs/>
          <w:lang w:val="it-IT"/>
        </w:rPr>
        <w:t>26,</w:t>
      </w:r>
      <w:r w:rsidRPr="003566F3">
        <w:rPr>
          <w:lang w:val="it-IT"/>
        </w:rPr>
        <w:t xml:space="preserve"> 1596–1603 (2006).</w:t>
      </w:r>
    </w:p>
    <w:p w:rsidR="008E2C16" w:rsidRPr="006D37B2" w:rsidRDefault="008E2C16" w:rsidP="008E2C16">
      <w:pPr>
        <w:pStyle w:val="Literaturverzeichnis"/>
      </w:pPr>
      <w:r w:rsidRPr="003566F3">
        <w:rPr>
          <w:lang w:val="it-IT"/>
        </w:rPr>
        <w:lastRenderedPageBreak/>
        <w:t>35.</w:t>
      </w:r>
      <w:r w:rsidRPr="003566F3">
        <w:rPr>
          <w:lang w:val="it-IT"/>
        </w:rPr>
        <w:tab/>
        <w:t xml:space="preserve">Hamilton, G. </w:t>
      </w:r>
      <w:r w:rsidRPr="003566F3">
        <w:rPr>
          <w:i/>
          <w:iCs/>
          <w:lang w:val="it-IT"/>
        </w:rPr>
        <w:t>et al.</w:t>
      </w:r>
      <w:r w:rsidRPr="003566F3">
        <w:rPr>
          <w:lang w:val="it-IT"/>
        </w:rPr>
        <w:t xml:space="preserve"> </w:t>
      </w:r>
      <w:r>
        <w:t xml:space="preserve">The role of ECE1 variants in cognitive ability in old age and Alzheimer’s disease risk. </w:t>
      </w:r>
      <w:r w:rsidRPr="006D37B2">
        <w:rPr>
          <w:i/>
          <w:iCs/>
        </w:rPr>
        <w:t>Am. J. Med. Genet. Part B Neuropsychiatr. Genet. Off. Publ. Int. Soc. Psychiatr. Genet.</w:t>
      </w:r>
      <w:r w:rsidRPr="006D37B2">
        <w:t xml:space="preserve"> </w:t>
      </w:r>
      <w:r w:rsidRPr="006D37B2">
        <w:rPr>
          <w:b/>
          <w:bCs/>
        </w:rPr>
        <w:t>159B,</w:t>
      </w:r>
      <w:r w:rsidRPr="006D37B2">
        <w:t xml:space="preserve"> 696–709 (2012).</w:t>
      </w:r>
    </w:p>
    <w:p w:rsidR="008E2C16" w:rsidRDefault="008E2C16" w:rsidP="008E2C16">
      <w:pPr>
        <w:pStyle w:val="Literaturverzeichnis"/>
      </w:pPr>
      <w:r w:rsidRPr="006D37B2">
        <w:t>36.</w:t>
      </w:r>
      <w:r w:rsidRPr="006D37B2">
        <w:tab/>
        <w:t xml:space="preserve">Natunen, T. </w:t>
      </w:r>
      <w:r w:rsidRPr="006D37B2">
        <w:rPr>
          <w:i/>
          <w:iCs/>
        </w:rPr>
        <w:t>et al.</w:t>
      </w:r>
      <w:r w:rsidRPr="006D37B2">
        <w:t xml:space="preserve"> </w:t>
      </w:r>
      <w:r>
        <w:t xml:space="preserve">Genetic analysis of genes involved in amyloid-β degradation and clearance in Alzheimer’s disease. </w:t>
      </w:r>
      <w:r>
        <w:rPr>
          <w:i/>
          <w:iCs/>
        </w:rPr>
        <w:t>J. Alzheimers Dis. JAD</w:t>
      </w:r>
      <w:r>
        <w:t xml:space="preserve"> </w:t>
      </w:r>
      <w:r>
        <w:rPr>
          <w:b/>
          <w:bCs/>
        </w:rPr>
        <w:t>28,</w:t>
      </w:r>
      <w:r>
        <w:t xml:space="preserve"> 553–559 (2012).</w:t>
      </w:r>
    </w:p>
    <w:p w:rsidR="008E2C16" w:rsidRDefault="008E2C16" w:rsidP="008E2C16">
      <w:pPr>
        <w:pStyle w:val="Literaturverzeichnis"/>
      </w:pPr>
      <w:r>
        <w:t>37.</w:t>
      </w:r>
      <w:r>
        <w:tab/>
        <w:t xml:space="preserve">Cousin, E. </w:t>
      </w:r>
      <w:r>
        <w:rPr>
          <w:i/>
          <w:iCs/>
        </w:rPr>
        <w:t>et al.</w:t>
      </w:r>
      <w:r>
        <w:t xml:space="preserve"> No replication of genetic association between candidate polymorphisms and Alzheimer’s disease. </w:t>
      </w:r>
      <w:r>
        <w:rPr>
          <w:i/>
          <w:iCs/>
        </w:rPr>
        <w:t>Neurobiol. Aging</w:t>
      </w:r>
      <w:r>
        <w:t xml:space="preserve"> </w:t>
      </w:r>
      <w:r>
        <w:rPr>
          <w:b/>
          <w:bCs/>
        </w:rPr>
        <w:t>32,</w:t>
      </w:r>
      <w:r>
        <w:t xml:space="preserve"> 1443–1451 (2011).</w:t>
      </w:r>
    </w:p>
    <w:p w:rsidR="008E2C16" w:rsidRDefault="008E2C16" w:rsidP="008E2C16">
      <w:pPr>
        <w:pStyle w:val="Literaturverzeichnis"/>
      </w:pPr>
      <w:r>
        <w:t>38.</w:t>
      </w:r>
      <w:r>
        <w:tab/>
        <w:t xml:space="preserve">Zou, F. </w:t>
      </w:r>
      <w:r>
        <w:rPr>
          <w:i/>
          <w:iCs/>
        </w:rPr>
        <w:t>et al.</w:t>
      </w:r>
      <w:r>
        <w:t xml:space="preserve"> Gene expression levels as endophenotypes in genome-wide association studies of Alzheimer disease. </w:t>
      </w:r>
      <w:r>
        <w:rPr>
          <w:i/>
          <w:iCs/>
        </w:rPr>
        <w:t>Neurology</w:t>
      </w:r>
      <w:r>
        <w:t xml:space="preserve"> </w:t>
      </w:r>
      <w:r>
        <w:rPr>
          <w:b/>
          <w:bCs/>
        </w:rPr>
        <w:t>74,</w:t>
      </w:r>
      <w:r>
        <w:t xml:space="preserve"> 480–486 (2010).</w:t>
      </w:r>
    </w:p>
    <w:p w:rsidR="008E2C16" w:rsidRDefault="008E2C16" w:rsidP="008E2C16">
      <w:pPr>
        <w:pStyle w:val="Literaturverzeichnis"/>
      </w:pPr>
      <w:r>
        <w:t>39.</w:t>
      </w:r>
      <w:r>
        <w:tab/>
        <w:t xml:space="preserve">Tsuda, M., Kobayashi, T., Matsuo, T. &amp; Aigaki, T. Insulin-degrading enzyme antagonizes insulin-dependent tissue growth and Abeta-induced neurotoxicity in Drosophila. </w:t>
      </w:r>
      <w:r>
        <w:rPr>
          <w:i/>
          <w:iCs/>
        </w:rPr>
        <w:t>FEBS Lett.</w:t>
      </w:r>
      <w:r>
        <w:t xml:space="preserve"> </w:t>
      </w:r>
      <w:r>
        <w:rPr>
          <w:b/>
          <w:bCs/>
        </w:rPr>
        <w:t>584,</w:t>
      </w:r>
      <w:r>
        <w:t xml:space="preserve"> 2916–2920 (2010).</w:t>
      </w:r>
    </w:p>
    <w:p w:rsidR="008E2C16" w:rsidRDefault="008E2C16" w:rsidP="008E2C16">
      <w:pPr>
        <w:pStyle w:val="Literaturverzeichnis"/>
      </w:pPr>
      <w:r>
        <w:t>40.</w:t>
      </w:r>
      <w:r>
        <w:tab/>
        <w:t xml:space="preserve">Carrasquillo, M. M. </w:t>
      </w:r>
      <w:r>
        <w:rPr>
          <w:i/>
          <w:iCs/>
        </w:rPr>
        <w:t>et al.</w:t>
      </w:r>
      <w:r>
        <w:t xml:space="preserve"> Concordant association of insulin degrading enzyme gene (IDE) variants with IDE mRNA, Abeta, and Alzheimer’s disease. </w:t>
      </w:r>
      <w:r>
        <w:rPr>
          <w:i/>
          <w:iCs/>
        </w:rPr>
        <w:t>PloS One</w:t>
      </w:r>
      <w:r>
        <w:t xml:space="preserve"> </w:t>
      </w:r>
      <w:r>
        <w:rPr>
          <w:b/>
          <w:bCs/>
        </w:rPr>
        <w:t>5,</w:t>
      </w:r>
      <w:r>
        <w:t xml:space="preserve"> e8764 (2010).</w:t>
      </w:r>
    </w:p>
    <w:p w:rsidR="008E2C16" w:rsidRDefault="008E2C16" w:rsidP="008E2C16">
      <w:pPr>
        <w:pStyle w:val="Literaturverzeichnis"/>
      </w:pPr>
      <w:r>
        <w:t>41.</w:t>
      </w:r>
      <w:r>
        <w:tab/>
        <w:t xml:space="preserve">Vepsäläinen, S. </w:t>
      </w:r>
      <w:r>
        <w:rPr>
          <w:i/>
          <w:iCs/>
        </w:rPr>
        <w:t>et al.</w:t>
      </w:r>
      <w:r>
        <w:t xml:space="preserve"> Increased expression of Abeta degrading enzyme IDE in the cortex of transgenic mice with Alzheimer’s disease-like neuropathology. </w:t>
      </w:r>
      <w:r>
        <w:rPr>
          <w:i/>
          <w:iCs/>
        </w:rPr>
        <w:t>Neurosci. Lett.</w:t>
      </w:r>
      <w:r>
        <w:t xml:space="preserve"> </w:t>
      </w:r>
      <w:r>
        <w:rPr>
          <w:b/>
          <w:bCs/>
        </w:rPr>
        <w:t>438,</w:t>
      </w:r>
      <w:r>
        <w:t xml:space="preserve"> 216–220 (2008).</w:t>
      </w:r>
    </w:p>
    <w:p w:rsidR="008E2C16" w:rsidRDefault="008E2C16" w:rsidP="008E2C16">
      <w:pPr>
        <w:pStyle w:val="Literaturverzeichnis"/>
      </w:pPr>
      <w:r>
        <w:t>42.</w:t>
      </w:r>
      <w:r>
        <w:tab/>
        <w:t xml:space="preserve">Kim, M. </w:t>
      </w:r>
      <w:r>
        <w:rPr>
          <w:i/>
          <w:iCs/>
        </w:rPr>
        <w:t>et al.</w:t>
      </w:r>
      <w:r>
        <w:t xml:space="preserve"> Decreased catalytic activity of the insulin-degrading enzyme in chromosome 10-linked Alzheimer disease families. </w:t>
      </w:r>
      <w:r>
        <w:rPr>
          <w:i/>
          <w:iCs/>
        </w:rPr>
        <w:t>J. Biol. Chem.</w:t>
      </w:r>
      <w:r>
        <w:t xml:space="preserve"> </w:t>
      </w:r>
      <w:r>
        <w:rPr>
          <w:b/>
          <w:bCs/>
        </w:rPr>
        <w:t>282,</w:t>
      </w:r>
      <w:r>
        <w:t xml:space="preserve"> 7825–7832 (2007).</w:t>
      </w:r>
    </w:p>
    <w:p w:rsidR="008E2C16" w:rsidRDefault="008E2C16" w:rsidP="008E2C16">
      <w:pPr>
        <w:pStyle w:val="Literaturverzeichnis"/>
      </w:pPr>
      <w:r>
        <w:t>43.</w:t>
      </w:r>
      <w:r>
        <w:tab/>
        <w:t xml:space="preserve">Sun, B. </w:t>
      </w:r>
      <w:r>
        <w:rPr>
          <w:i/>
          <w:iCs/>
        </w:rPr>
        <w:t>et al.</w:t>
      </w:r>
      <w:r>
        <w:t xml:space="preserve"> Cystatin C-cathepsin B axis regulates amyloid beta levels and associated neuronal deficits in an animal model of Alzheimer’s disease. </w:t>
      </w:r>
      <w:r>
        <w:rPr>
          <w:i/>
          <w:iCs/>
        </w:rPr>
        <w:t>Neuron</w:t>
      </w:r>
      <w:r>
        <w:t xml:space="preserve"> </w:t>
      </w:r>
      <w:r>
        <w:rPr>
          <w:b/>
          <w:bCs/>
        </w:rPr>
        <w:t>60,</w:t>
      </w:r>
      <w:r>
        <w:t xml:space="preserve"> 247–257 (2008).</w:t>
      </w:r>
    </w:p>
    <w:p w:rsidR="008E2C16" w:rsidRDefault="008E2C16" w:rsidP="008E2C16">
      <w:pPr>
        <w:pStyle w:val="Literaturverzeichnis"/>
      </w:pPr>
      <w:r>
        <w:t>44.</w:t>
      </w:r>
      <w:r>
        <w:tab/>
        <w:t xml:space="preserve">Sundelöf, J. </w:t>
      </w:r>
      <w:r>
        <w:rPr>
          <w:i/>
          <w:iCs/>
        </w:rPr>
        <w:t>et al.</w:t>
      </w:r>
      <w:r>
        <w:t xml:space="preserve"> Serum cystatin C and the risk of Alzheimer disease in elderly men. </w:t>
      </w:r>
      <w:r>
        <w:rPr>
          <w:i/>
          <w:iCs/>
        </w:rPr>
        <w:t>Neurology</w:t>
      </w:r>
      <w:r>
        <w:t xml:space="preserve"> </w:t>
      </w:r>
      <w:r>
        <w:rPr>
          <w:b/>
          <w:bCs/>
        </w:rPr>
        <w:t>71,</w:t>
      </w:r>
      <w:r>
        <w:t xml:space="preserve"> 1072–1079 (2008).</w:t>
      </w:r>
    </w:p>
    <w:p w:rsidR="008E2C16" w:rsidRDefault="008E2C16" w:rsidP="008E2C16">
      <w:pPr>
        <w:pStyle w:val="Literaturverzeichnis"/>
      </w:pPr>
      <w:r w:rsidRPr="00701EFC">
        <w:t>45.</w:t>
      </w:r>
      <w:r w:rsidRPr="00701EFC">
        <w:tab/>
        <w:t xml:space="preserve">Kaeser, S. A. </w:t>
      </w:r>
      <w:r w:rsidRPr="00701EFC">
        <w:rPr>
          <w:i/>
          <w:iCs/>
        </w:rPr>
        <w:t>et al.</w:t>
      </w:r>
      <w:r w:rsidRPr="00701EFC">
        <w:t xml:space="preserve"> </w:t>
      </w:r>
      <w:r>
        <w:t xml:space="preserve">Cystatin C modulates cerebral beta-amyloidosis. </w:t>
      </w:r>
      <w:r>
        <w:rPr>
          <w:i/>
          <w:iCs/>
        </w:rPr>
        <w:t>Nat. Genet.</w:t>
      </w:r>
      <w:r>
        <w:t xml:space="preserve"> </w:t>
      </w:r>
      <w:r>
        <w:rPr>
          <w:b/>
          <w:bCs/>
        </w:rPr>
        <w:t>39,</w:t>
      </w:r>
      <w:r>
        <w:t xml:space="preserve"> 1437–1439 (2007).</w:t>
      </w:r>
    </w:p>
    <w:p w:rsidR="008E2C16" w:rsidRDefault="008E2C16" w:rsidP="008E2C16">
      <w:pPr>
        <w:pStyle w:val="Literaturverzeichnis"/>
      </w:pPr>
      <w:r>
        <w:t>46.</w:t>
      </w:r>
      <w:r>
        <w:tab/>
        <w:t xml:space="preserve">Mi, W. </w:t>
      </w:r>
      <w:r>
        <w:rPr>
          <w:i/>
          <w:iCs/>
        </w:rPr>
        <w:t>et al.</w:t>
      </w:r>
      <w:r>
        <w:t xml:space="preserve"> Cystatin C inhibits amyloid-beta deposition in Alzheimer’s disease mouse models. </w:t>
      </w:r>
      <w:r>
        <w:rPr>
          <w:i/>
          <w:iCs/>
        </w:rPr>
        <w:t>Nat. Genet.</w:t>
      </w:r>
      <w:r>
        <w:t xml:space="preserve"> </w:t>
      </w:r>
      <w:r>
        <w:rPr>
          <w:b/>
          <w:bCs/>
        </w:rPr>
        <w:t>39,</w:t>
      </w:r>
      <w:r>
        <w:t xml:space="preserve"> 1440–1442 (2007).</w:t>
      </w:r>
    </w:p>
    <w:p w:rsidR="008E2C16" w:rsidRDefault="008E2C16" w:rsidP="008E2C16">
      <w:pPr>
        <w:pStyle w:val="Literaturverzeichnis"/>
      </w:pPr>
      <w:r>
        <w:t>47.</w:t>
      </w:r>
      <w:r>
        <w:tab/>
        <w:t xml:space="preserve">Papassotiropoulos, A. </w:t>
      </w:r>
      <w:r>
        <w:rPr>
          <w:i/>
          <w:iCs/>
        </w:rPr>
        <w:t>et al.</w:t>
      </w:r>
      <w:r>
        <w:t xml:space="preserve"> Genetic polymorphism of cathepsin D is strongly associated with the risk for developing sporadic Alzheimer’s disease. </w:t>
      </w:r>
      <w:r>
        <w:rPr>
          <w:i/>
          <w:iCs/>
        </w:rPr>
        <w:t>Neurosci. Lett.</w:t>
      </w:r>
      <w:r>
        <w:t xml:space="preserve"> </w:t>
      </w:r>
      <w:r>
        <w:rPr>
          <w:b/>
          <w:bCs/>
        </w:rPr>
        <w:t>262,</w:t>
      </w:r>
      <w:r>
        <w:t xml:space="preserve"> 171–174 (1999).</w:t>
      </w:r>
    </w:p>
    <w:p w:rsidR="008E2C16" w:rsidRDefault="008E2C16" w:rsidP="008E2C16">
      <w:pPr>
        <w:pStyle w:val="Literaturverzeichnis"/>
      </w:pPr>
      <w:r>
        <w:t>48.</w:t>
      </w:r>
      <w:r>
        <w:tab/>
        <w:t xml:space="preserve">Hoffman, K. B., Bi, X., Pham, J. T. &amp; Lynch, G. Beta-amyloid increases cathepsin D levels in hippocampus. </w:t>
      </w:r>
      <w:r>
        <w:rPr>
          <w:i/>
          <w:iCs/>
        </w:rPr>
        <w:t>Neurosci. Lett.</w:t>
      </w:r>
      <w:r>
        <w:t xml:space="preserve"> </w:t>
      </w:r>
      <w:r>
        <w:rPr>
          <w:b/>
          <w:bCs/>
        </w:rPr>
        <w:t>250,</w:t>
      </w:r>
      <w:r>
        <w:t xml:space="preserve"> 75–78 (1998).</w:t>
      </w:r>
    </w:p>
    <w:p w:rsidR="008E2C16" w:rsidRDefault="008E2C16" w:rsidP="008E2C16">
      <w:pPr>
        <w:pStyle w:val="Literaturverzeichnis"/>
      </w:pPr>
      <w:r>
        <w:t>49.</w:t>
      </w:r>
      <w:r>
        <w:tab/>
        <w:t xml:space="preserve">Luo, J., Wärmländer, S. K. T. S., Gräslund, A. &amp; Abrahams, J. P. Human lysozyme inhibits the in vitro aggregation of Aβ peptides, which in vivo are associated with Alzheimer’s disease. </w:t>
      </w:r>
      <w:r>
        <w:rPr>
          <w:i/>
          <w:iCs/>
        </w:rPr>
        <w:t>Chem. Commun. Camb. Engl.</w:t>
      </w:r>
      <w:r>
        <w:t xml:space="preserve"> </w:t>
      </w:r>
      <w:r>
        <w:rPr>
          <w:b/>
          <w:bCs/>
        </w:rPr>
        <w:t>49,</w:t>
      </w:r>
      <w:r>
        <w:t xml:space="preserve"> 6507–6509 (2013).</w:t>
      </w:r>
    </w:p>
    <w:p w:rsidR="008E2C16" w:rsidRDefault="008E2C16" w:rsidP="008E2C16">
      <w:pPr>
        <w:pStyle w:val="Literaturverzeichnis"/>
      </w:pPr>
      <w:r>
        <w:t>50.</w:t>
      </w:r>
      <w:r>
        <w:tab/>
        <w:t xml:space="preserve">Miners, S. </w:t>
      </w:r>
      <w:r>
        <w:rPr>
          <w:i/>
          <w:iCs/>
        </w:rPr>
        <w:t>et al.</w:t>
      </w:r>
      <w:r>
        <w:t xml:space="preserve"> Genetic variation in MME in relation to neprilysin protein and enzyme activity, Aβ levels, and Alzheimer’s disease risk. </w:t>
      </w:r>
      <w:r>
        <w:rPr>
          <w:i/>
          <w:iCs/>
        </w:rPr>
        <w:t>Int. J. Mol. Epidemiol. Genet.</w:t>
      </w:r>
      <w:r>
        <w:t xml:space="preserve"> </w:t>
      </w:r>
      <w:r>
        <w:rPr>
          <w:b/>
          <w:bCs/>
        </w:rPr>
        <w:t>3,</w:t>
      </w:r>
      <w:r>
        <w:t xml:space="preserve"> 30–38 (2012).</w:t>
      </w:r>
    </w:p>
    <w:p w:rsidR="008E2C16" w:rsidRDefault="008E2C16" w:rsidP="008E2C16">
      <w:pPr>
        <w:pStyle w:val="Literaturverzeichnis"/>
      </w:pPr>
      <w:r>
        <w:t>51.</w:t>
      </w:r>
      <w:r>
        <w:tab/>
        <w:t xml:space="preserve">Helisalmi, S. </w:t>
      </w:r>
      <w:r>
        <w:rPr>
          <w:i/>
          <w:iCs/>
        </w:rPr>
        <w:t>et al.</w:t>
      </w:r>
      <w:r>
        <w:t xml:space="preserve"> Polymorphisms in neprilysin gene affect the risk of Alzheimer’s disease in Finnish patients. </w:t>
      </w:r>
      <w:r>
        <w:rPr>
          <w:i/>
          <w:iCs/>
        </w:rPr>
        <w:t>J. Neurol. Neurosurg. Psychiatry</w:t>
      </w:r>
      <w:r>
        <w:t xml:space="preserve"> </w:t>
      </w:r>
      <w:r>
        <w:rPr>
          <w:b/>
          <w:bCs/>
        </w:rPr>
        <w:t>75,</w:t>
      </w:r>
      <w:r>
        <w:t xml:space="preserve"> 1746–1748 (2004).</w:t>
      </w:r>
    </w:p>
    <w:p w:rsidR="008E2C16" w:rsidRDefault="008E2C16" w:rsidP="008E2C16">
      <w:pPr>
        <w:pStyle w:val="Literaturverzeichnis"/>
      </w:pPr>
      <w:r>
        <w:t>52.</w:t>
      </w:r>
      <w:r>
        <w:tab/>
        <w:t xml:space="preserve">Mohajeri, M. H. </w:t>
      </w:r>
      <w:r>
        <w:rPr>
          <w:i/>
          <w:iCs/>
        </w:rPr>
        <w:t>et al.</w:t>
      </w:r>
      <w:r>
        <w:t xml:space="preserve"> Anti-amyloid activity of neprilysin in plaque-bearing mouse models of Alzheimer’s disease. </w:t>
      </w:r>
      <w:r>
        <w:rPr>
          <w:i/>
          <w:iCs/>
        </w:rPr>
        <w:t>FEBS Lett.</w:t>
      </w:r>
      <w:r>
        <w:t xml:space="preserve"> </w:t>
      </w:r>
      <w:r>
        <w:rPr>
          <w:b/>
          <w:bCs/>
        </w:rPr>
        <w:t>562,</w:t>
      </w:r>
      <w:r>
        <w:t xml:space="preserve"> 16–21 (2004).</w:t>
      </w:r>
    </w:p>
    <w:p w:rsidR="008E2C16" w:rsidRPr="003566F3" w:rsidRDefault="008E2C16" w:rsidP="008E2C16">
      <w:pPr>
        <w:pStyle w:val="Literaturverzeichnis"/>
        <w:rPr>
          <w:lang w:val="it-IT"/>
        </w:rPr>
      </w:pPr>
      <w:r>
        <w:lastRenderedPageBreak/>
        <w:t>53.</w:t>
      </w:r>
      <w:r>
        <w:tab/>
        <w:t xml:space="preserve">Iwata, N. </w:t>
      </w:r>
      <w:r>
        <w:rPr>
          <w:i/>
          <w:iCs/>
        </w:rPr>
        <w:t>et al.</w:t>
      </w:r>
      <w:r>
        <w:t xml:space="preserve"> Presynaptic localization of neprilysin contributes to efficient clearance of amyloid-beta peptide in mouse brain. </w:t>
      </w:r>
      <w:r w:rsidRPr="003566F3">
        <w:rPr>
          <w:i/>
          <w:iCs/>
          <w:lang w:val="it-IT"/>
        </w:rPr>
        <w:t>J. Neurosci. Off. J. Soc. Neurosci.</w:t>
      </w:r>
      <w:r w:rsidRPr="003566F3">
        <w:rPr>
          <w:lang w:val="it-IT"/>
        </w:rPr>
        <w:t xml:space="preserve"> </w:t>
      </w:r>
      <w:r w:rsidRPr="003566F3">
        <w:rPr>
          <w:b/>
          <w:bCs/>
          <w:lang w:val="it-IT"/>
        </w:rPr>
        <w:t>24,</w:t>
      </w:r>
      <w:r w:rsidRPr="003566F3">
        <w:rPr>
          <w:lang w:val="it-IT"/>
        </w:rPr>
        <w:t xml:space="preserve"> 991–998 (2004).</w:t>
      </w:r>
    </w:p>
    <w:p w:rsidR="008E2C16" w:rsidRDefault="008E2C16" w:rsidP="008E2C16">
      <w:pPr>
        <w:pStyle w:val="Literaturverzeichnis"/>
      </w:pPr>
      <w:r w:rsidRPr="003566F3">
        <w:rPr>
          <w:lang w:val="it-IT"/>
        </w:rPr>
        <w:t>54.</w:t>
      </w:r>
      <w:r w:rsidRPr="003566F3">
        <w:rPr>
          <w:lang w:val="it-IT"/>
        </w:rPr>
        <w:tab/>
        <w:t xml:space="preserve">Iwata, N. </w:t>
      </w:r>
      <w:r w:rsidRPr="003566F3">
        <w:rPr>
          <w:i/>
          <w:iCs/>
          <w:lang w:val="it-IT"/>
        </w:rPr>
        <w:t>et al.</w:t>
      </w:r>
      <w:r w:rsidRPr="003566F3">
        <w:rPr>
          <w:lang w:val="it-IT"/>
        </w:rPr>
        <w:t xml:space="preserve"> </w:t>
      </w:r>
      <w:r>
        <w:t xml:space="preserve">Metabolic regulation of brain Abeta by neprilysin. </w:t>
      </w:r>
      <w:r>
        <w:rPr>
          <w:i/>
          <w:iCs/>
        </w:rPr>
        <w:t>Science</w:t>
      </w:r>
      <w:r>
        <w:t xml:space="preserve"> </w:t>
      </w:r>
      <w:r>
        <w:rPr>
          <w:b/>
          <w:bCs/>
        </w:rPr>
        <w:t>292,</w:t>
      </w:r>
      <w:r>
        <w:t xml:space="preserve"> 1550–1552 (2001).</w:t>
      </w:r>
    </w:p>
    <w:p w:rsidR="008E2C16" w:rsidRDefault="008E2C16" w:rsidP="008E2C16">
      <w:pPr>
        <w:pStyle w:val="Literaturverzeichnis"/>
      </w:pPr>
      <w:r>
        <w:t>55.</w:t>
      </w:r>
      <w:r>
        <w:tab/>
        <w:t xml:space="preserve">Zou, K. </w:t>
      </w:r>
      <w:r>
        <w:rPr>
          <w:i/>
          <w:iCs/>
        </w:rPr>
        <w:t>et al.</w:t>
      </w:r>
      <w:r>
        <w:t xml:space="preserve"> Abeta42-to-Abeta40- and angiotensin-converting activities in different domains of angiotensin-converting enzyme. </w:t>
      </w:r>
      <w:r>
        <w:rPr>
          <w:i/>
          <w:iCs/>
        </w:rPr>
        <w:t>J. Biol. Chem.</w:t>
      </w:r>
      <w:r>
        <w:t xml:space="preserve"> </w:t>
      </w:r>
      <w:r>
        <w:rPr>
          <w:b/>
          <w:bCs/>
        </w:rPr>
        <w:t>284,</w:t>
      </w:r>
      <w:r>
        <w:t xml:space="preserve"> 31914–31920 (2009).</w:t>
      </w:r>
    </w:p>
    <w:p w:rsidR="008E2C16" w:rsidRDefault="008E2C16" w:rsidP="008E2C16">
      <w:pPr>
        <w:pStyle w:val="Literaturverzeichnis"/>
      </w:pPr>
      <w:r>
        <w:t>56.</w:t>
      </w:r>
      <w:r>
        <w:tab/>
        <w:t xml:space="preserve">Hu, J., Igarashi, A., Kamata, M. &amp; Nakagawa, H. Angiotensin-converting enzyme degrades Alzheimer amyloid beta-peptide (A beta ); retards A beta aggregation, deposition, fibril formation; and inhibits cytotoxicity. </w:t>
      </w:r>
      <w:r>
        <w:rPr>
          <w:i/>
          <w:iCs/>
        </w:rPr>
        <w:t>J. Biol. Chem.</w:t>
      </w:r>
      <w:r>
        <w:t xml:space="preserve"> </w:t>
      </w:r>
      <w:r>
        <w:rPr>
          <w:b/>
          <w:bCs/>
        </w:rPr>
        <w:t>276,</w:t>
      </w:r>
      <w:r>
        <w:t xml:space="preserve"> 47863–47868 (2001).</w:t>
      </w:r>
    </w:p>
    <w:p w:rsidR="008E2C16" w:rsidRDefault="008E2C16" w:rsidP="008E2C16">
      <w:pPr>
        <w:pStyle w:val="Literaturverzeichnis"/>
      </w:pPr>
      <w:r>
        <w:t>57.</w:t>
      </w:r>
      <w:r>
        <w:tab/>
        <w:t xml:space="preserve">Hemming, M. L. &amp; Selkoe, D. J. Amyloid beta-protein is degraded by cellular angiotensin-converting enzyme (ACE) and elevated by an ACE inhibitor. </w:t>
      </w:r>
      <w:r>
        <w:rPr>
          <w:i/>
          <w:iCs/>
        </w:rPr>
        <w:t>J. Biol. Chem.</w:t>
      </w:r>
      <w:r>
        <w:t xml:space="preserve"> </w:t>
      </w:r>
      <w:r>
        <w:rPr>
          <w:b/>
          <w:bCs/>
        </w:rPr>
        <w:t>280,</w:t>
      </w:r>
      <w:r>
        <w:t xml:space="preserve"> 37644–37650 (2005).</w:t>
      </w:r>
    </w:p>
    <w:p w:rsidR="008E2C16" w:rsidRDefault="008E2C16" w:rsidP="008E2C16">
      <w:pPr>
        <w:pStyle w:val="Literaturverzeichnis"/>
      </w:pPr>
      <w:r>
        <w:t>58.</w:t>
      </w:r>
      <w:r>
        <w:tab/>
        <w:t xml:space="preserve">Mlekusch, R. &amp; Humpel, C. Matrix metalloproteinases-2 and -3 are reduced in cerebrospinal fluid with low beta-amyloid1-42 levels. </w:t>
      </w:r>
      <w:r>
        <w:rPr>
          <w:i/>
          <w:iCs/>
        </w:rPr>
        <w:t>Neurosci. Lett.</w:t>
      </w:r>
      <w:r>
        <w:t xml:space="preserve"> </w:t>
      </w:r>
      <w:r>
        <w:rPr>
          <w:b/>
          <w:bCs/>
        </w:rPr>
        <w:t>466,</w:t>
      </w:r>
      <w:r>
        <w:t xml:space="preserve"> 135–138 (2009).</w:t>
      </w:r>
    </w:p>
    <w:p w:rsidR="008E2C16" w:rsidRDefault="008E2C16" w:rsidP="008E2C16">
      <w:pPr>
        <w:pStyle w:val="Literaturverzeichnis"/>
      </w:pPr>
      <w:r>
        <w:t>59.</w:t>
      </w:r>
      <w:r>
        <w:tab/>
        <w:t xml:space="preserve">Helbecque, N., Cottel, D., Hermant, X. &amp; Amouyel, P. Impact of the matrix metalloproteinase MMP-3 on dementia. </w:t>
      </w:r>
      <w:r>
        <w:rPr>
          <w:i/>
          <w:iCs/>
        </w:rPr>
        <w:t>Neurobiol. Aging</w:t>
      </w:r>
      <w:r>
        <w:t xml:space="preserve"> </w:t>
      </w:r>
      <w:r>
        <w:rPr>
          <w:b/>
          <w:bCs/>
        </w:rPr>
        <w:t>28,</w:t>
      </w:r>
      <w:r>
        <w:t xml:space="preserve"> 1215–1220 (2007).</w:t>
      </w:r>
    </w:p>
    <w:p w:rsidR="008E2C16" w:rsidRDefault="008E2C16" w:rsidP="008E2C16">
      <w:pPr>
        <w:pStyle w:val="Literaturverzeichnis"/>
      </w:pPr>
      <w:r>
        <w:t>60.</w:t>
      </w:r>
      <w:r>
        <w:tab/>
        <w:t xml:space="preserve">Saarela, M. S. </w:t>
      </w:r>
      <w:r>
        <w:rPr>
          <w:i/>
          <w:iCs/>
        </w:rPr>
        <w:t>et al.</w:t>
      </w:r>
      <w:r>
        <w:t xml:space="preserve"> Interaction between matrix metalloproteinase 3 and the epsilon4 allele of apolipoprotein E increases the risk of Alzheimer’s disease in Finns. </w:t>
      </w:r>
      <w:r>
        <w:rPr>
          <w:i/>
          <w:iCs/>
        </w:rPr>
        <w:t>Neurosci. Lett.</w:t>
      </w:r>
      <w:r>
        <w:t xml:space="preserve"> </w:t>
      </w:r>
      <w:r>
        <w:rPr>
          <w:b/>
          <w:bCs/>
        </w:rPr>
        <w:t>367,</w:t>
      </w:r>
      <w:r>
        <w:t xml:space="preserve"> 336–339 (2004).</w:t>
      </w:r>
    </w:p>
    <w:p w:rsidR="008E2C16" w:rsidRDefault="008E2C16" w:rsidP="008E2C16">
      <w:pPr>
        <w:pStyle w:val="Literaturverzeichnis"/>
      </w:pPr>
      <w:r>
        <w:t>61.</w:t>
      </w:r>
      <w:r>
        <w:tab/>
        <w:t xml:space="preserve">Yoshiyama, Y., Asahina, M. &amp; Hattori, T. Selective distribution of matrix metalloproteinase-3 (MMP-3) in Alzheimer’s disease brain. </w:t>
      </w:r>
      <w:r>
        <w:rPr>
          <w:i/>
          <w:iCs/>
        </w:rPr>
        <w:t>Acta Neuropathol. (Berl.)</w:t>
      </w:r>
      <w:r>
        <w:t xml:space="preserve"> </w:t>
      </w:r>
      <w:r>
        <w:rPr>
          <w:b/>
          <w:bCs/>
        </w:rPr>
        <w:t>99,</w:t>
      </w:r>
      <w:r>
        <w:t xml:space="preserve"> 91–95 (2000).</w:t>
      </w:r>
    </w:p>
    <w:p w:rsidR="008E2C16" w:rsidRDefault="008E2C16" w:rsidP="008E2C16">
      <w:pPr>
        <w:pStyle w:val="Literaturverzeichnis"/>
      </w:pPr>
      <w:r>
        <w:t>62.</w:t>
      </w:r>
      <w:r>
        <w:tab/>
        <w:t xml:space="preserve">Qiu, W. Q. </w:t>
      </w:r>
      <w:r>
        <w:rPr>
          <w:i/>
          <w:iCs/>
        </w:rPr>
        <w:t>et al.</w:t>
      </w:r>
      <w:r>
        <w:t xml:space="preserve"> Degradation of amyloid beta-protein by a serine protease-alpha2-macroglobulin complex. </w:t>
      </w:r>
      <w:r>
        <w:rPr>
          <w:i/>
          <w:iCs/>
        </w:rPr>
        <w:t>J. Biol. Chem.</w:t>
      </w:r>
      <w:r>
        <w:t xml:space="preserve"> </w:t>
      </w:r>
      <w:r>
        <w:rPr>
          <w:b/>
          <w:bCs/>
        </w:rPr>
        <w:t>271,</w:t>
      </w:r>
      <w:r>
        <w:t xml:space="preserve"> 8443–8451 (1996).</w:t>
      </w:r>
    </w:p>
    <w:p w:rsidR="008E2C16" w:rsidRDefault="008E2C16" w:rsidP="008E2C16">
      <w:pPr>
        <w:pStyle w:val="Literaturverzeichnis"/>
      </w:pPr>
      <w:r w:rsidRPr="00701EFC">
        <w:t>63.</w:t>
      </w:r>
      <w:r w:rsidRPr="00701EFC">
        <w:tab/>
        <w:t xml:space="preserve">Saunders, A. J. </w:t>
      </w:r>
      <w:r w:rsidRPr="00701EFC">
        <w:rPr>
          <w:i/>
          <w:iCs/>
        </w:rPr>
        <w:t>et al.</w:t>
      </w:r>
      <w:r w:rsidRPr="00701EFC">
        <w:t xml:space="preserve"> </w:t>
      </w:r>
      <w:r>
        <w:t xml:space="preserve">Genetic association of Alzheimer’s disease with multiple polymorphisms in alpha-2-macroglobulin. </w:t>
      </w:r>
      <w:r>
        <w:rPr>
          <w:i/>
          <w:iCs/>
        </w:rPr>
        <w:t>Hum. Mol. Genet.</w:t>
      </w:r>
      <w:r>
        <w:t xml:space="preserve"> </w:t>
      </w:r>
      <w:r>
        <w:rPr>
          <w:b/>
          <w:bCs/>
        </w:rPr>
        <w:t>12,</w:t>
      </w:r>
      <w:r>
        <w:t xml:space="preserve"> 2765–2776 (2003).</w:t>
      </w:r>
    </w:p>
    <w:p w:rsidR="008E2C16" w:rsidRDefault="008E2C16" w:rsidP="008E2C16">
      <w:pPr>
        <w:pStyle w:val="Literaturverzeichnis"/>
      </w:pPr>
      <w:r>
        <w:t>64.</w:t>
      </w:r>
      <w:r>
        <w:tab/>
        <w:t xml:space="preserve">Zappia, M. </w:t>
      </w:r>
      <w:r>
        <w:rPr>
          <w:i/>
          <w:iCs/>
        </w:rPr>
        <w:t>et al.</w:t>
      </w:r>
      <w:r>
        <w:t xml:space="preserve"> Genetic association of alpha2-macroglobulin polymorphisms with AD in southern Italy. </w:t>
      </w:r>
      <w:r>
        <w:rPr>
          <w:i/>
          <w:iCs/>
        </w:rPr>
        <w:t>Neurology</w:t>
      </w:r>
      <w:r>
        <w:t xml:space="preserve"> </w:t>
      </w:r>
      <w:r>
        <w:rPr>
          <w:b/>
          <w:bCs/>
        </w:rPr>
        <w:t>59,</w:t>
      </w:r>
      <w:r>
        <w:t xml:space="preserve"> 756–758 (2002).</w:t>
      </w:r>
    </w:p>
    <w:p w:rsidR="008E2C16" w:rsidRDefault="008E2C16" w:rsidP="008E2C16">
      <w:pPr>
        <w:pStyle w:val="Literaturverzeichnis"/>
      </w:pPr>
      <w:r>
        <w:t>65.</w:t>
      </w:r>
      <w:r>
        <w:tab/>
        <w:t xml:space="preserve">Pirskanen, M. </w:t>
      </w:r>
      <w:r>
        <w:rPr>
          <w:i/>
          <w:iCs/>
        </w:rPr>
        <w:t>et al.</w:t>
      </w:r>
      <w:r>
        <w:t xml:space="preserve"> An association between a subset of Finnish late-onset Alzheimer’s disease and alpha2-macroglobulin. </w:t>
      </w:r>
      <w:r>
        <w:rPr>
          <w:i/>
          <w:iCs/>
        </w:rPr>
        <w:t>Neurogenetics</w:t>
      </w:r>
      <w:r>
        <w:t xml:space="preserve"> </w:t>
      </w:r>
      <w:r>
        <w:rPr>
          <w:b/>
          <w:bCs/>
        </w:rPr>
        <w:t>3,</w:t>
      </w:r>
      <w:r>
        <w:t xml:space="preserve"> 171–172 (2001).</w:t>
      </w:r>
    </w:p>
    <w:p w:rsidR="008E2C16" w:rsidRDefault="008E2C16" w:rsidP="008E2C16">
      <w:pPr>
        <w:pStyle w:val="Literaturverzeichnis"/>
      </w:pPr>
      <w:r>
        <w:t>66.</w:t>
      </w:r>
      <w:r>
        <w:tab/>
        <w:t xml:space="preserve">Verpillat, P. </w:t>
      </w:r>
      <w:r>
        <w:rPr>
          <w:i/>
          <w:iCs/>
        </w:rPr>
        <w:t>et al.</w:t>
      </w:r>
      <w:r>
        <w:t xml:space="preserve"> Alpha2-macroglobulin gene and Alzheimer’s disease: confirmation of association by haplotypes analyses. </w:t>
      </w:r>
      <w:r>
        <w:rPr>
          <w:i/>
          <w:iCs/>
        </w:rPr>
        <w:t>Ann. Neurol.</w:t>
      </w:r>
      <w:r>
        <w:t xml:space="preserve"> </w:t>
      </w:r>
      <w:r>
        <w:rPr>
          <w:b/>
          <w:bCs/>
        </w:rPr>
        <w:t>48,</w:t>
      </w:r>
      <w:r>
        <w:t xml:space="preserve"> 400–402 (2000).</w:t>
      </w:r>
    </w:p>
    <w:p w:rsidR="008E2C16" w:rsidRDefault="008E2C16" w:rsidP="008E2C16">
      <w:pPr>
        <w:pStyle w:val="Literaturverzeichnis"/>
      </w:pPr>
      <w:r>
        <w:t>67.</w:t>
      </w:r>
      <w:r>
        <w:tab/>
        <w:t xml:space="preserve">Lee, J.-Y. </w:t>
      </w:r>
      <w:r>
        <w:rPr>
          <w:i/>
          <w:iCs/>
        </w:rPr>
        <w:t>et al.</w:t>
      </w:r>
      <w:r>
        <w:t xml:space="preserve"> Upregulation of tPA/plasminogen proteolytic system in the periphery of amyloid deposits in the Tg2576 mouse model of Alzheimer’s disease. </w:t>
      </w:r>
      <w:r>
        <w:rPr>
          <w:i/>
          <w:iCs/>
        </w:rPr>
        <w:t>Neurosci. Lett.</w:t>
      </w:r>
      <w:r>
        <w:t xml:space="preserve"> </w:t>
      </w:r>
      <w:r>
        <w:rPr>
          <w:b/>
          <w:bCs/>
        </w:rPr>
        <w:t>423,</w:t>
      </w:r>
      <w:r>
        <w:t xml:space="preserve"> 82–87 (2007).</w:t>
      </w:r>
    </w:p>
    <w:p w:rsidR="008E2C16" w:rsidRDefault="008E2C16" w:rsidP="008E2C16">
      <w:pPr>
        <w:pStyle w:val="Literaturverzeichnis"/>
      </w:pPr>
      <w:r>
        <w:t>68.</w:t>
      </w:r>
      <w:r>
        <w:tab/>
        <w:t xml:space="preserve">Medina, M. G. </w:t>
      </w:r>
      <w:r>
        <w:rPr>
          <w:i/>
          <w:iCs/>
        </w:rPr>
        <w:t>et al.</w:t>
      </w:r>
      <w:r>
        <w:t xml:space="preserve"> Tissue plasminogen activator mediates amyloid-induced neurotoxicity via Erk1/2 activation. </w:t>
      </w:r>
      <w:r>
        <w:rPr>
          <w:i/>
          <w:iCs/>
        </w:rPr>
        <w:t>EMBO J.</w:t>
      </w:r>
      <w:r>
        <w:t xml:space="preserve"> </w:t>
      </w:r>
      <w:r>
        <w:rPr>
          <w:b/>
          <w:bCs/>
        </w:rPr>
        <w:t>24,</w:t>
      </w:r>
      <w:r>
        <w:t xml:space="preserve"> 1706–1716 (2005).</w:t>
      </w:r>
    </w:p>
    <w:p w:rsidR="008E2C16" w:rsidRDefault="008E2C16" w:rsidP="008E2C16">
      <w:pPr>
        <w:pStyle w:val="Literaturverzeichnis"/>
      </w:pPr>
      <w:r>
        <w:t>69.</w:t>
      </w:r>
      <w:r>
        <w:tab/>
        <w:t xml:space="preserve">Melchor, J. P., Pawlak, R. &amp; Strickland, S. The tissue plasminogen activator-plasminogen proteolytic cascade accelerates amyloid-beta (Abeta) degradation and inhibits Abeta-induced neurodegeneration. </w:t>
      </w:r>
      <w:r>
        <w:rPr>
          <w:i/>
          <w:iCs/>
        </w:rPr>
        <w:t>J. Neurosci. Off. J. Soc. Neurosci.</w:t>
      </w:r>
      <w:r>
        <w:t xml:space="preserve"> </w:t>
      </w:r>
      <w:r>
        <w:rPr>
          <w:b/>
          <w:bCs/>
        </w:rPr>
        <w:t>23,</w:t>
      </w:r>
      <w:r>
        <w:t xml:space="preserve"> 8867–8871 (2003).</w:t>
      </w:r>
    </w:p>
    <w:p w:rsidR="008E2C16" w:rsidRDefault="008E2C16" w:rsidP="008E2C16">
      <w:pPr>
        <w:pStyle w:val="Literaturverzeichnis"/>
      </w:pPr>
      <w:r>
        <w:lastRenderedPageBreak/>
        <w:t>70.</w:t>
      </w:r>
      <w:r>
        <w:tab/>
        <w:t xml:space="preserve">Kingston, I. B., Castro, M. J. &amp; Anderson, S. In vitro stimulation of tissue-type plasminogen activator by Alzheimer amyloid beta-peptide analogues. </w:t>
      </w:r>
      <w:r>
        <w:rPr>
          <w:i/>
          <w:iCs/>
        </w:rPr>
        <w:t>Nat. Med.</w:t>
      </w:r>
      <w:r>
        <w:t xml:space="preserve"> </w:t>
      </w:r>
      <w:r>
        <w:rPr>
          <w:b/>
          <w:bCs/>
        </w:rPr>
        <w:t>1,</w:t>
      </w:r>
      <w:r>
        <w:t xml:space="preserve"> 138–142 (1995).</w:t>
      </w:r>
    </w:p>
    <w:p w:rsidR="008E2C16" w:rsidRDefault="008E2C16" w:rsidP="008E2C16">
      <w:pPr>
        <w:pStyle w:val="Literaturverzeichnis"/>
      </w:pPr>
      <w:r>
        <w:t>71.</w:t>
      </w:r>
      <w:r>
        <w:tab/>
        <w:t xml:space="preserve">Bien, J. </w:t>
      </w:r>
      <w:r>
        <w:rPr>
          <w:i/>
          <w:iCs/>
        </w:rPr>
        <w:t>et al.</w:t>
      </w:r>
      <w:r>
        <w:t xml:space="preserve"> The metalloprotease meprin β generates amino terminal-truncated amyloid β peptide species. </w:t>
      </w:r>
      <w:r>
        <w:rPr>
          <w:i/>
          <w:iCs/>
        </w:rPr>
        <w:t>J. Biol. Chem.</w:t>
      </w:r>
      <w:r>
        <w:t xml:space="preserve"> </w:t>
      </w:r>
      <w:r>
        <w:rPr>
          <w:b/>
          <w:bCs/>
        </w:rPr>
        <w:t>287,</w:t>
      </w:r>
      <w:r>
        <w:t xml:space="preserve"> 33304–33313 (2012).</w:t>
      </w:r>
    </w:p>
    <w:p w:rsidR="008E2C16" w:rsidRDefault="008E2C16" w:rsidP="008E2C16">
      <w:pPr>
        <w:pStyle w:val="Literaturverzeichnis"/>
      </w:pPr>
      <w:r>
        <w:t>72.</w:t>
      </w:r>
      <w:r>
        <w:tab/>
        <w:t xml:space="preserve">Jefferson, T. </w:t>
      </w:r>
      <w:r>
        <w:rPr>
          <w:i/>
          <w:iCs/>
        </w:rPr>
        <w:t>et al.</w:t>
      </w:r>
      <w:r>
        <w:t xml:space="preserve"> The substrate degradome of meprin metalloproteases reveals an unexpected proteolytic link between meprin β and ADAM10. </w:t>
      </w:r>
      <w:r>
        <w:rPr>
          <w:i/>
          <w:iCs/>
        </w:rPr>
        <w:t>Cell. Mol. Life Sci. CMLS</w:t>
      </w:r>
      <w:r>
        <w:t xml:space="preserve"> </w:t>
      </w:r>
      <w:r>
        <w:rPr>
          <w:b/>
          <w:bCs/>
        </w:rPr>
        <w:t>70,</w:t>
      </w:r>
      <w:r>
        <w:t xml:space="preserve"> 309–333 (2013).</w:t>
      </w:r>
    </w:p>
    <w:p w:rsidR="008E2C16" w:rsidRDefault="008E2C16" w:rsidP="008E2C16">
      <w:pPr>
        <w:pStyle w:val="Literaturverzeichnis"/>
      </w:pPr>
      <w:r>
        <w:t>73.</w:t>
      </w:r>
      <w:r>
        <w:tab/>
        <w:t xml:space="preserve">Jefferson, T. </w:t>
      </w:r>
      <w:r>
        <w:rPr>
          <w:i/>
          <w:iCs/>
        </w:rPr>
        <w:t>et al.</w:t>
      </w:r>
      <w:r>
        <w:t xml:space="preserve"> Metalloprotease meprin beta generates nontoxic N-terminal amyloid precursor protein fragments in vivo. </w:t>
      </w:r>
      <w:r>
        <w:rPr>
          <w:i/>
          <w:iCs/>
        </w:rPr>
        <w:t>J. Biol. Chem.</w:t>
      </w:r>
      <w:r>
        <w:t xml:space="preserve"> </w:t>
      </w:r>
      <w:r>
        <w:rPr>
          <w:b/>
          <w:bCs/>
        </w:rPr>
        <w:t>286,</w:t>
      </w:r>
      <w:r>
        <w:t xml:space="preserve"> 27741–27750 (2011).</w:t>
      </w:r>
    </w:p>
    <w:p w:rsidR="008E2C16" w:rsidRDefault="008E2C16" w:rsidP="008E2C16">
      <w:pPr>
        <w:pStyle w:val="Literaturverzeichnis"/>
      </w:pPr>
      <w:r>
        <w:t>74.</w:t>
      </w:r>
      <w:r>
        <w:tab/>
        <w:t xml:space="preserve">Ashby, E. L., Kehoe, P. G. &amp; Love, S. Kallikrein-related peptidase 6 in Alzheimer’s disease and vascular dementia. </w:t>
      </w:r>
      <w:r>
        <w:rPr>
          <w:i/>
          <w:iCs/>
        </w:rPr>
        <w:t>Brain Res.</w:t>
      </w:r>
      <w:r>
        <w:t xml:space="preserve"> </w:t>
      </w:r>
      <w:r>
        <w:rPr>
          <w:b/>
          <w:bCs/>
        </w:rPr>
        <w:t>1363,</w:t>
      </w:r>
      <w:r>
        <w:t xml:space="preserve"> 1–10 (2010).</w:t>
      </w:r>
    </w:p>
    <w:p w:rsidR="008E2C16" w:rsidRPr="003566F3" w:rsidRDefault="008E2C16" w:rsidP="008E2C16">
      <w:pPr>
        <w:pStyle w:val="Literaturverzeichnis"/>
        <w:rPr>
          <w:lang w:val="it-IT"/>
        </w:rPr>
      </w:pPr>
      <w:r>
        <w:t>75.</w:t>
      </w:r>
      <w:r>
        <w:tab/>
        <w:t xml:space="preserve">Kanekiyo, T., Liu, C.-C., Shinohara, M., Li, J. &amp; Bu, G. LRP1 in brain vascular smooth muscle cells mediates local clearance of Alzheimer’s amyloid-β. </w:t>
      </w:r>
      <w:r w:rsidRPr="003566F3">
        <w:rPr>
          <w:i/>
          <w:iCs/>
          <w:lang w:val="it-IT"/>
        </w:rPr>
        <w:t>J. Neurosci. Off. J. Soc. Neurosci.</w:t>
      </w:r>
      <w:r w:rsidRPr="003566F3">
        <w:rPr>
          <w:lang w:val="it-IT"/>
        </w:rPr>
        <w:t xml:space="preserve"> </w:t>
      </w:r>
      <w:r w:rsidRPr="003566F3">
        <w:rPr>
          <w:b/>
          <w:bCs/>
          <w:lang w:val="it-IT"/>
        </w:rPr>
        <w:t>32,</w:t>
      </w:r>
      <w:r w:rsidRPr="003566F3">
        <w:rPr>
          <w:lang w:val="it-IT"/>
        </w:rPr>
        <w:t xml:space="preserve"> 16458–16465 (2012).</w:t>
      </w:r>
    </w:p>
    <w:p w:rsidR="008E2C16" w:rsidRDefault="008E2C16" w:rsidP="008E2C16">
      <w:pPr>
        <w:pStyle w:val="Literaturverzeichnis"/>
      </w:pPr>
      <w:r w:rsidRPr="003566F3">
        <w:rPr>
          <w:lang w:val="it-IT"/>
        </w:rPr>
        <w:t>76.</w:t>
      </w:r>
      <w:r w:rsidRPr="003566F3">
        <w:rPr>
          <w:lang w:val="it-IT"/>
        </w:rPr>
        <w:tab/>
        <w:t xml:space="preserve">Farrer, L. A. </w:t>
      </w:r>
      <w:r w:rsidRPr="003566F3">
        <w:rPr>
          <w:i/>
          <w:iCs/>
          <w:lang w:val="it-IT"/>
        </w:rPr>
        <w:t>et al.</w:t>
      </w:r>
      <w:r w:rsidRPr="003566F3">
        <w:rPr>
          <w:lang w:val="it-IT"/>
        </w:rPr>
        <w:t xml:space="preserve"> </w:t>
      </w:r>
      <w:r>
        <w:t xml:space="preserve">Identification of multiple loci for Alzheimer disease in a consanguineous Israeli-Arab community. </w:t>
      </w:r>
      <w:r>
        <w:rPr>
          <w:i/>
          <w:iCs/>
        </w:rPr>
        <w:t>Hum. Mol. Genet.</w:t>
      </w:r>
      <w:r>
        <w:t xml:space="preserve"> </w:t>
      </w:r>
      <w:r>
        <w:rPr>
          <w:b/>
          <w:bCs/>
        </w:rPr>
        <w:t>12,</w:t>
      </w:r>
      <w:r>
        <w:t xml:space="preserve"> 415–422 (2003).</w:t>
      </w:r>
    </w:p>
    <w:p w:rsidR="008E2C16" w:rsidRDefault="008E2C16" w:rsidP="008E2C16">
      <w:pPr>
        <w:pStyle w:val="Literaturverzeichnis"/>
      </w:pPr>
      <w:r>
        <w:t>77.</w:t>
      </w:r>
      <w:r>
        <w:tab/>
        <w:t xml:space="preserve">Li, H. &amp; Durbin, R. Fast and accurate short read alignment with Burrows-Wheeler transform. </w:t>
      </w:r>
      <w:r>
        <w:rPr>
          <w:i/>
          <w:iCs/>
        </w:rPr>
        <w:t>Bioinforma. Oxf. Engl.</w:t>
      </w:r>
      <w:r>
        <w:t xml:space="preserve"> </w:t>
      </w:r>
      <w:r>
        <w:rPr>
          <w:b/>
          <w:bCs/>
        </w:rPr>
        <w:t>25,</w:t>
      </w:r>
      <w:r>
        <w:t xml:space="preserve"> 1754–1760 (2009).</w:t>
      </w:r>
    </w:p>
    <w:p w:rsidR="008E2C16" w:rsidRDefault="008E2C16" w:rsidP="008E2C16">
      <w:pPr>
        <w:pStyle w:val="Literaturverzeichnis"/>
      </w:pPr>
      <w:r>
        <w:t>78.</w:t>
      </w:r>
      <w:r>
        <w:tab/>
        <w:t xml:space="preserve">Li, H. </w:t>
      </w:r>
      <w:r>
        <w:rPr>
          <w:i/>
          <w:iCs/>
        </w:rPr>
        <w:t>et al.</w:t>
      </w:r>
      <w:r>
        <w:t xml:space="preserve"> The Sequence Alignment/Map format and SAMtools. </w:t>
      </w:r>
      <w:r>
        <w:rPr>
          <w:i/>
          <w:iCs/>
        </w:rPr>
        <w:t>Bioinforma. Oxf. Engl.</w:t>
      </w:r>
      <w:r>
        <w:t xml:space="preserve"> </w:t>
      </w:r>
      <w:r>
        <w:rPr>
          <w:b/>
          <w:bCs/>
        </w:rPr>
        <w:t>25,</w:t>
      </w:r>
      <w:r>
        <w:t xml:space="preserve"> 2078–2079 (2009).</w:t>
      </w:r>
    </w:p>
    <w:p w:rsidR="008E2C16" w:rsidRDefault="008E2C16" w:rsidP="008E2C16">
      <w:pPr>
        <w:pStyle w:val="Literaturverzeichnis"/>
      </w:pPr>
      <w:r>
        <w:t>79.</w:t>
      </w:r>
      <w:r>
        <w:tab/>
        <w:t xml:space="preserve">DePristo, M. A. </w:t>
      </w:r>
      <w:r>
        <w:rPr>
          <w:i/>
          <w:iCs/>
        </w:rPr>
        <w:t>et al.</w:t>
      </w:r>
      <w:r>
        <w:t xml:space="preserve"> A framework for variation discovery and genotyping using next-generation DNA sequencing data. </w:t>
      </w:r>
      <w:r>
        <w:rPr>
          <w:i/>
          <w:iCs/>
        </w:rPr>
        <w:t>Nat. Genet.</w:t>
      </w:r>
      <w:r>
        <w:t xml:space="preserve"> </w:t>
      </w:r>
      <w:r>
        <w:rPr>
          <w:b/>
          <w:bCs/>
        </w:rPr>
        <w:t>43,</w:t>
      </w:r>
      <w:r>
        <w:t xml:space="preserve"> 491–498 (2011).</w:t>
      </w:r>
    </w:p>
    <w:p w:rsidR="008E2C16" w:rsidRDefault="008E2C16" w:rsidP="008E2C16">
      <w:pPr>
        <w:pStyle w:val="Literaturverzeichnis"/>
      </w:pPr>
      <w:r>
        <w:t>80.</w:t>
      </w:r>
      <w:r>
        <w:tab/>
        <w:t xml:space="preserve">McKenna, A. </w:t>
      </w:r>
      <w:r>
        <w:rPr>
          <w:i/>
          <w:iCs/>
        </w:rPr>
        <w:t>et al.</w:t>
      </w:r>
      <w:r>
        <w:t xml:space="preserve"> The Genome Analysis Toolkit: a MapReduce framework for analyzing next-generation DNA sequencing data. </w:t>
      </w:r>
      <w:r>
        <w:rPr>
          <w:i/>
          <w:iCs/>
        </w:rPr>
        <w:t>Genome Res.</w:t>
      </w:r>
      <w:r>
        <w:t xml:space="preserve"> </w:t>
      </w:r>
      <w:r>
        <w:rPr>
          <w:b/>
          <w:bCs/>
        </w:rPr>
        <w:t>20,</w:t>
      </w:r>
      <w:r>
        <w:t xml:space="preserve"> 1297–1303 (2010).</w:t>
      </w:r>
    </w:p>
    <w:p w:rsidR="008E2C16" w:rsidRDefault="008E2C16" w:rsidP="008E2C16">
      <w:pPr>
        <w:pStyle w:val="Literaturverzeichnis"/>
      </w:pPr>
      <w:r>
        <w:t>81.</w:t>
      </w:r>
      <w:r>
        <w:tab/>
        <w:t xml:space="preserve">Purcell, S. </w:t>
      </w:r>
      <w:r>
        <w:rPr>
          <w:i/>
          <w:iCs/>
        </w:rPr>
        <w:t>et al.</w:t>
      </w:r>
      <w:r>
        <w:t xml:space="preserve"> PLINK: a tool set for whole-genome association and population-based linkage analyses. </w:t>
      </w:r>
      <w:r>
        <w:rPr>
          <w:i/>
          <w:iCs/>
        </w:rPr>
        <w:t>Am. J. Hum. Genet.</w:t>
      </w:r>
      <w:r>
        <w:t xml:space="preserve"> </w:t>
      </w:r>
      <w:r>
        <w:rPr>
          <w:b/>
          <w:bCs/>
        </w:rPr>
        <w:t>81,</w:t>
      </w:r>
      <w:r>
        <w:t xml:space="preserve"> 559–575 (2007).</w:t>
      </w:r>
    </w:p>
    <w:p w:rsidR="008E2C16" w:rsidRDefault="008E2C16" w:rsidP="008E2C16">
      <w:pPr>
        <w:pStyle w:val="Literaturverzeichnis"/>
      </w:pPr>
      <w:r>
        <w:t>82.</w:t>
      </w:r>
      <w:r>
        <w:tab/>
        <w:t xml:space="preserve">Danecek, P. </w:t>
      </w:r>
      <w:r>
        <w:rPr>
          <w:i/>
          <w:iCs/>
        </w:rPr>
        <w:t>et al.</w:t>
      </w:r>
      <w:r>
        <w:t xml:space="preserve"> The variant call format and VCFtools. </w:t>
      </w:r>
      <w:r>
        <w:rPr>
          <w:i/>
          <w:iCs/>
        </w:rPr>
        <w:t>Bioinforma. Oxf. Engl.</w:t>
      </w:r>
      <w:r>
        <w:t xml:space="preserve"> </w:t>
      </w:r>
      <w:r>
        <w:rPr>
          <w:b/>
          <w:bCs/>
        </w:rPr>
        <w:t>27,</w:t>
      </w:r>
      <w:r>
        <w:t xml:space="preserve"> 2156–2158 (2011).</w:t>
      </w:r>
    </w:p>
    <w:p w:rsidR="008E2C16" w:rsidRDefault="008E2C16" w:rsidP="008E2C16">
      <w:pPr>
        <w:pStyle w:val="Literaturverzeichnis"/>
      </w:pPr>
      <w:r>
        <w:t>83.</w:t>
      </w:r>
      <w:r>
        <w:tab/>
        <w:t xml:space="preserve">Wang, K., Li, M. &amp; Hakonarson, H. ANNOVAR: functional annotation of genetic variants from high-throughput sequencing data. </w:t>
      </w:r>
      <w:r>
        <w:rPr>
          <w:i/>
          <w:iCs/>
        </w:rPr>
        <w:t>Nucleic Acids Res.</w:t>
      </w:r>
      <w:r>
        <w:t xml:space="preserve"> </w:t>
      </w:r>
      <w:r>
        <w:rPr>
          <w:b/>
          <w:bCs/>
        </w:rPr>
        <w:t>38,</w:t>
      </w:r>
      <w:r>
        <w:t xml:space="preserve"> e164 (2010).</w:t>
      </w:r>
    </w:p>
    <w:p w:rsidR="008E2C16" w:rsidRDefault="008E2C16" w:rsidP="008E2C16">
      <w:pPr>
        <w:pStyle w:val="Literaturverzeichnis"/>
      </w:pPr>
      <w:r>
        <w:t>84.</w:t>
      </w:r>
      <w:r>
        <w:tab/>
        <w:t xml:space="preserve">1000 Genomes Project Consortium </w:t>
      </w:r>
      <w:r>
        <w:rPr>
          <w:i/>
          <w:iCs/>
        </w:rPr>
        <w:t>et al.</w:t>
      </w:r>
      <w:r>
        <w:t xml:space="preserve"> An integrated map of genetic variation from 1,092 human genomes. </w:t>
      </w:r>
      <w:r>
        <w:rPr>
          <w:i/>
          <w:iCs/>
        </w:rPr>
        <w:t>Nature</w:t>
      </w:r>
      <w:r>
        <w:t xml:space="preserve"> </w:t>
      </w:r>
      <w:r>
        <w:rPr>
          <w:b/>
          <w:bCs/>
        </w:rPr>
        <w:t>491,</w:t>
      </w:r>
      <w:r>
        <w:t xml:space="preserve"> 56–65 (2012).</w:t>
      </w:r>
    </w:p>
    <w:p w:rsidR="008E2C16" w:rsidRDefault="008E2C16" w:rsidP="008E2C16">
      <w:pPr>
        <w:pStyle w:val="Literaturverzeichnis"/>
      </w:pPr>
      <w:r>
        <w:t>85.</w:t>
      </w:r>
      <w:r>
        <w:tab/>
        <w:t xml:space="preserve">Sherry, S. T. </w:t>
      </w:r>
      <w:r>
        <w:rPr>
          <w:i/>
          <w:iCs/>
        </w:rPr>
        <w:t>et al.</w:t>
      </w:r>
      <w:r>
        <w:t xml:space="preserve"> dbSNP: the NCBI database of genetic variation. </w:t>
      </w:r>
      <w:r>
        <w:rPr>
          <w:i/>
          <w:iCs/>
        </w:rPr>
        <w:t>Nucleic Acids Res.</w:t>
      </w:r>
      <w:r>
        <w:t xml:space="preserve"> </w:t>
      </w:r>
      <w:r>
        <w:rPr>
          <w:b/>
          <w:bCs/>
        </w:rPr>
        <w:t>29,</w:t>
      </w:r>
      <w:r>
        <w:t xml:space="preserve"> 308–311 (2001).</w:t>
      </w:r>
    </w:p>
    <w:p w:rsidR="008E2C16" w:rsidRDefault="008E2C16" w:rsidP="008E2C16">
      <w:pPr>
        <w:pStyle w:val="Literaturverzeichnis"/>
      </w:pPr>
      <w:r>
        <w:t>86.</w:t>
      </w:r>
      <w:r>
        <w:tab/>
        <w:t xml:space="preserve">Adzhubei, I. A. </w:t>
      </w:r>
      <w:r>
        <w:rPr>
          <w:i/>
          <w:iCs/>
        </w:rPr>
        <w:t>et al.</w:t>
      </w:r>
      <w:r>
        <w:t xml:space="preserve"> A method and server for predicting damaging missense mutations. </w:t>
      </w:r>
      <w:r>
        <w:rPr>
          <w:i/>
          <w:iCs/>
        </w:rPr>
        <w:t>Nat. Methods</w:t>
      </w:r>
      <w:r>
        <w:t xml:space="preserve"> </w:t>
      </w:r>
      <w:r>
        <w:rPr>
          <w:b/>
          <w:bCs/>
        </w:rPr>
        <w:t>7,</w:t>
      </w:r>
      <w:r>
        <w:t xml:space="preserve"> 248–249 (2010).</w:t>
      </w:r>
    </w:p>
    <w:p w:rsidR="008E2C16" w:rsidRDefault="008E2C16" w:rsidP="008E2C16">
      <w:pPr>
        <w:pStyle w:val="Literaturverzeichnis"/>
      </w:pPr>
      <w:r>
        <w:t>87.</w:t>
      </w:r>
      <w:r>
        <w:tab/>
        <w:t xml:space="preserve">Kumar, P., Henikoff, S. &amp; Ng, P. C. Predicting the effects of coding non-synonymous variants on protein function using the SIFT algorithm. </w:t>
      </w:r>
      <w:r>
        <w:rPr>
          <w:i/>
          <w:iCs/>
        </w:rPr>
        <w:t>Nat. Protoc.</w:t>
      </w:r>
      <w:r>
        <w:t xml:space="preserve"> </w:t>
      </w:r>
      <w:r>
        <w:rPr>
          <w:b/>
          <w:bCs/>
        </w:rPr>
        <w:t>4,</w:t>
      </w:r>
      <w:r>
        <w:t xml:space="preserve"> 1073–1081 (2009).</w:t>
      </w:r>
    </w:p>
    <w:p w:rsidR="008E2C16" w:rsidRPr="000731F4" w:rsidRDefault="008E2C16" w:rsidP="008E2C16">
      <w:pPr>
        <w:jc w:val="both"/>
        <w:rPr>
          <w:sz w:val="14"/>
          <w:szCs w:val="14"/>
        </w:rPr>
      </w:pPr>
      <w:r w:rsidRPr="00407F10">
        <w:rPr>
          <w:sz w:val="24"/>
          <w:szCs w:val="24"/>
        </w:rPr>
        <w:fldChar w:fldCharType="end"/>
      </w:r>
    </w:p>
    <w:p w:rsidR="008E2C16" w:rsidRPr="00383E2B" w:rsidRDefault="008E2C16" w:rsidP="00237366">
      <w:pPr>
        <w:rPr>
          <w:b/>
          <w:sz w:val="14"/>
          <w:szCs w:val="14"/>
        </w:rPr>
      </w:pPr>
    </w:p>
    <w:p w:rsidR="00237366" w:rsidRDefault="00237366"/>
    <w:sectPr w:rsidR="00237366" w:rsidSect="008E2C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0D" w:rsidRDefault="00C07A0D" w:rsidP="00C07A0D">
      <w:pPr>
        <w:spacing w:after="0" w:line="240" w:lineRule="auto"/>
      </w:pPr>
      <w:r>
        <w:separator/>
      </w:r>
    </w:p>
  </w:endnote>
  <w:endnote w:type="continuationSeparator" w:id="0">
    <w:p w:rsidR="00C07A0D" w:rsidRDefault="00C07A0D" w:rsidP="00C0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0D" w:rsidRDefault="00C07A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258435"/>
      <w:docPartObj>
        <w:docPartGallery w:val="Page Numbers (Bottom of Page)"/>
        <w:docPartUnique/>
      </w:docPartObj>
    </w:sdtPr>
    <w:sdtEndPr/>
    <w:sdtContent>
      <w:p w:rsidR="00C07A0D" w:rsidRDefault="00C07A0D">
        <w:pPr>
          <w:pStyle w:val="Fuzeile"/>
          <w:jc w:val="center"/>
        </w:pPr>
        <w:r>
          <w:fldChar w:fldCharType="begin"/>
        </w:r>
        <w:r>
          <w:instrText>PAGE   \* MERGEFORMAT</w:instrText>
        </w:r>
        <w:r>
          <w:fldChar w:fldCharType="separate"/>
        </w:r>
        <w:r w:rsidR="006D1271" w:rsidRPr="006D1271">
          <w:rPr>
            <w:noProof/>
            <w:lang w:val="de-DE"/>
          </w:rPr>
          <w:t>1</w:t>
        </w:r>
        <w:r>
          <w:fldChar w:fldCharType="end"/>
        </w:r>
      </w:p>
    </w:sdtContent>
  </w:sdt>
  <w:p w:rsidR="00C07A0D" w:rsidRDefault="00C07A0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0D" w:rsidRDefault="00C07A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0D" w:rsidRDefault="00C07A0D" w:rsidP="00C07A0D">
      <w:pPr>
        <w:spacing w:after="0" w:line="240" w:lineRule="auto"/>
      </w:pPr>
      <w:r>
        <w:separator/>
      </w:r>
    </w:p>
  </w:footnote>
  <w:footnote w:type="continuationSeparator" w:id="0">
    <w:p w:rsidR="00C07A0D" w:rsidRDefault="00C07A0D" w:rsidP="00C07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0D" w:rsidRDefault="00C07A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0D" w:rsidRDefault="00C07A0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0D" w:rsidRDefault="00C07A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66"/>
    <w:rsid w:val="000B3FBC"/>
    <w:rsid w:val="00112805"/>
    <w:rsid w:val="001F27CF"/>
    <w:rsid w:val="00237366"/>
    <w:rsid w:val="00277830"/>
    <w:rsid w:val="0035120C"/>
    <w:rsid w:val="003566F3"/>
    <w:rsid w:val="004567FE"/>
    <w:rsid w:val="006D1271"/>
    <w:rsid w:val="006D37B2"/>
    <w:rsid w:val="00701EFC"/>
    <w:rsid w:val="00743B66"/>
    <w:rsid w:val="007A559E"/>
    <w:rsid w:val="008D0038"/>
    <w:rsid w:val="008E2C16"/>
    <w:rsid w:val="00927837"/>
    <w:rsid w:val="009A560F"/>
    <w:rsid w:val="00C07A0D"/>
    <w:rsid w:val="00C823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7366"/>
    <w:pPr>
      <w:spacing w:after="160" w:line="259"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teraturverzeichnis">
    <w:name w:val="Bibliography"/>
    <w:basedOn w:val="Standard"/>
    <w:next w:val="Standard"/>
    <w:uiPriority w:val="37"/>
    <w:semiHidden/>
    <w:unhideWhenUsed/>
    <w:rsid w:val="008E2C16"/>
  </w:style>
  <w:style w:type="paragraph" w:styleId="Kopfzeile">
    <w:name w:val="header"/>
    <w:basedOn w:val="Standard"/>
    <w:link w:val="KopfzeileZchn"/>
    <w:uiPriority w:val="99"/>
    <w:unhideWhenUsed/>
    <w:rsid w:val="00C07A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7A0D"/>
    <w:rPr>
      <w:lang w:val="en-US"/>
    </w:rPr>
  </w:style>
  <w:style w:type="paragraph" w:styleId="Fuzeile">
    <w:name w:val="footer"/>
    <w:basedOn w:val="Standard"/>
    <w:link w:val="FuzeileZchn"/>
    <w:uiPriority w:val="99"/>
    <w:unhideWhenUsed/>
    <w:rsid w:val="00C07A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7A0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7366"/>
    <w:pPr>
      <w:spacing w:after="160" w:line="259"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teraturverzeichnis">
    <w:name w:val="Bibliography"/>
    <w:basedOn w:val="Standard"/>
    <w:next w:val="Standard"/>
    <w:uiPriority w:val="37"/>
    <w:semiHidden/>
    <w:unhideWhenUsed/>
    <w:rsid w:val="008E2C16"/>
  </w:style>
  <w:style w:type="paragraph" w:styleId="Kopfzeile">
    <w:name w:val="header"/>
    <w:basedOn w:val="Standard"/>
    <w:link w:val="KopfzeileZchn"/>
    <w:uiPriority w:val="99"/>
    <w:unhideWhenUsed/>
    <w:rsid w:val="00C07A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7A0D"/>
    <w:rPr>
      <w:lang w:val="en-US"/>
    </w:rPr>
  </w:style>
  <w:style w:type="paragraph" w:styleId="Fuzeile">
    <w:name w:val="footer"/>
    <w:basedOn w:val="Standard"/>
    <w:link w:val="FuzeileZchn"/>
    <w:uiPriority w:val="99"/>
    <w:unhideWhenUsed/>
    <w:rsid w:val="00C07A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7A0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4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icard.sourceforge.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4527BC7B.dotm</Template>
  <TotalTime>0</TotalTime>
  <Pages>10</Pages>
  <Words>6605</Words>
  <Characters>41615</Characters>
  <Application>Microsoft Office Word</Application>
  <DocSecurity>0</DocSecurity>
  <Lines>346</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Charite Universitaetsmedizin Berlin</Company>
  <LinksUpToDate>false</LinksUpToDate>
  <CharactersWithSpaces>48124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Sassi, Celeste</dc:creator>
  <cp:keywords/>
  <dc:description/>
  <cp:lastModifiedBy>Sassi, Celeste</cp:lastModifiedBy>
  <cp:revision>5</cp:revision>
  <cp:lastPrinted>2015-12-01T21:05:00Z</cp:lastPrinted>
  <dcterms:created xsi:type="dcterms:W3CDTF">2016-03-04T21:12:00Z</dcterms:created>
  <dcterms:modified xsi:type="dcterms:W3CDTF">2016-04-13T09:42:00Z</dcterms:modified>
</cp:coreProperties>
</file>