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spacing w:line="480" w:lineRule="auto"/>
        <w:jc w:val="both"/>
      </w:pPr>
      <w:r>
        <w:rPr>
          <w:b w:val="1"/>
          <w:bCs w:val="1"/>
          <w:rtl w:val="0"/>
          <w:lang w:val="en-US"/>
        </w:rPr>
        <w:t>Supporting Information</w:t>
      </w:r>
    </w:p>
    <w:p>
      <w:pPr>
        <w:pStyle w:val="Corpo A"/>
        <w:spacing w:line="480" w:lineRule="auto"/>
        <w:jc w:val="both"/>
      </w:pPr>
      <w:r>
        <w:rPr>
          <w:b w:val="1"/>
          <w:bCs w:val="1"/>
          <w:rtl w:val="0"/>
          <w:lang w:val="en-US"/>
        </w:rPr>
        <w:t xml:space="preserve">S1 Appendix. Characters list and Data matrix of </w:t>
      </w:r>
      <w:r>
        <w:rPr>
          <w:b w:val="1"/>
          <w:bCs w:val="1"/>
          <w:u w:color="ff2d21"/>
          <w:rtl w:val="0"/>
          <w:lang w:val="en-US"/>
        </w:rPr>
        <w:t>non-amebelodontine</w:t>
      </w:r>
      <w:r>
        <w:rPr>
          <w:b w:val="1"/>
          <w:bCs w:val="1"/>
          <w:rtl w:val="0"/>
          <w:lang w:val="en-US"/>
        </w:rPr>
        <w:t xml:space="preserve"> trilophodont gomphotheres.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it-IT"/>
        </w:rPr>
      </w:pPr>
      <w:r>
        <w:rPr>
          <w:rtl w:val="0"/>
          <w:lang w:val="it-IT"/>
        </w:rPr>
        <w:t xml:space="preserve">Enamel in </w:t>
      </w:r>
      <w:r>
        <w:rPr>
          <w:rtl w:val="0"/>
          <w:lang w:val="en-US"/>
        </w:rPr>
        <w:t xml:space="preserve">I2: absent (0), present covering partially or totally the incisor (1), present as a band (2); 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 xml:space="preserve">I2 in lateral view: downturned (0), straight (1), upturned (2); 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>I2: not twisted (0), twisted (1);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>di1: present (0), absent (1);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>i1: present (0), absent (1);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 xml:space="preserve">Obliquity in dp3 posterior loph: oblique (0), not oblique (1); 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>M3 postentoconule: M3 is trilophodont (0), M3 is tetralophodont (1), M3 is pentalophodont (2), M3 is hexalophodont or more (3);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>Molar trefoils: absent (0), on pretrites (1), on pretrites and posttrites (2);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 xml:space="preserve"> m3/M3 medial cingulum: absent (0), present (1); 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 xml:space="preserve"> Molar main cusp and mesoconelet: unequal in size (0), equal in size (1); 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 xml:space="preserve"> Incisors fossa on premaxillary: present (0), absent (1);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>Mandibular symphysis: longirostrine (0), brevirostrine (1);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>Ventral torsion of mandible symphysis: less than 35</w:t>
      </w:r>
      <w:r>
        <w:rPr>
          <w:rtl w:val="0"/>
          <w:lang w:val="en-US"/>
        </w:rPr>
        <w:t xml:space="preserve">º </w:t>
      </w:r>
      <w:r>
        <w:rPr>
          <w:rtl w:val="0"/>
          <w:lang w:val="en-US"/>
        </w:rPr>
        <w:t>(0), more than 35</w:t>
      </w:r>
      <w:r>
        <w:rPr>
          <w:rtl w:val="0"/>
          <w:lang w:val="en-US"/>
        </w:rPr>
        <w:t xml:space="preserve">º </w:t>
      </w:r>
      <w:r>
        <w:rPr>
          <w:rtl w:val="0"/>
          <w:lang w:val="en-US"/>
        </w:rPr>
        <w:t>(1);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 xml:space="preserve">Mandible angle process: prominent (0), reduced (1); 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>Coronoid process and condyle heights: condyle slightly above coronoid process (0), condyle far above coronoid process (1);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>di1 cross-section: piriform/flat (0), oval/circular (1);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>Forehead: narrow (0), wide (1)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 xml:space="preserve">Premaxillaries in frontal view: slender, distal margin much narrower than interorbital width (0), robust, distal margin equal or wider than interorbital width (1); 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>Upper tusk alveoli (in frontal view): nearly parallel (0), distally slightly diverging (1), distally greatly diverging (2);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>Mandibular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 xml:space="preserve"> ascending ramus: dorso-posteriorly directed (0), dorsally directed (1);Supraorbital foramen: present (0), absent (1);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>Subnasal fossa: absent (0), present (1);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>Enamel in di1: present covering partially or totally the incisor (0), present as a band (1);</w:t>
      </w:r>
    </w:p>
    <w:p>
      <w:pPr>
        <w:pStyle w:val="Corpo A"/>
        <w:numPr>
          <w:ilvl w:val="0"/>
          <w:numId w:val="2"/>
        </w:numPr>
        <w:spacing w:line="480" w:lineRule="auto"/>
        <w:jc w:val="both"/>
        <w:rPr>
          <w:lang w:val="en-US"/>
        </w:rPr>
      </w:pPr>
      <w:r>
        <w:rPr>
          <w:rtl w:val="0"/>
          <w:lang w:val="en-US"/>
        </w:rPr>
        <w:t>di1 in superior view: parallel to convergent (0); parallel to divergent (1).</w:t>
      </w:r>
    </w:p>
    <w:tbl>
      <w:tblPr>
        <w:tblW w:w="97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744"/>
        <w:gridCol w:w="626"/>
        <w:gridCol w:w="524"/>
        <w:gridCol w:w="291"/>
        <w:gridCol w:w="291"/>
        <w:gridCol w:w="291"/>
        <w:gridCol w:w="290"/>
        <w:gridCol w:w="525"/>
        <w:gridCol w:w="525"/>
        <w:gridCol w:w="291"/>
        <w:gridCol w:w="290"/>
        <w:gridCol w:w="290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0"/>
        <w:gridCol w:w="291"/>
        <w:gridCol w:w="291"/>
        <w:gridCol w:w="291"/>
      </w:tblGrid>
      <w:tr>
        <w:tblPrEx>
          <w:shd w:val="clear" w:color="auto" w:fill="499bc9"/>
        </w:tblPrEx>
        <w:trPr>
          <w:trHeight w:val="330" w:hRule="atLeast"/>
          <w:tblHeader/>
        </w:trPr>
        <w:tc>
          <w:tcPr>
            <w:tcW w:type="dxa" w:w="174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Tax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</w:t>
            </w:r>
          </w:p>
        </w:tc>
        <w:tc>
          <w:tcPr>
            <w:tcW w:type="dxa" w:w="6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1</w:t>
            </w:r>
          </w:p>
        </w:tc>
        <w:tc>
          <w:tcPr>
            <w:tcW w:type="dxa" w:w="5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2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3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4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5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6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7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8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9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10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11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12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13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14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15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16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17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18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19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20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21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22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23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pt-PT"/>
              </w:rPr>
              <w:t>24</w:t>
            </w:r>
          </w:p>
        </w:tc>
      </w:tr>
      <w:tr>
        <w:tblPrEx>
          <w:shd w:val="clear" w:color="auto" w:fill="ceddeb"/>
        </w:tblPrEx>
        <w:trPr>
          <w:trHeight w:val="252" w:hRule="atLeast"/>
        </w:trPr>
        <w:tc>
          <w:tcPr>
            <w:tcW w:type="dxa" w:w="174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rtl w:val="0"/>
                <w:lang w:val="pt-PT"/>
              </w:rPr>
              <w:t>Gomphotherium</w:t>
            </w:r>
          </w:p>
        </w:tc>
        <w:tc>
          <w:tcPr>
            <w:tcW w:type="dxa" w:w="6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[02]</w:t>
            </w:r>
          </w:p>
        </w:tc>
        <w:tc>
          <w:tcPr>
            <w:tcW w:type="dxa" w:w="5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[01]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[01]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</w:tr>
      <w:tr>
        <w:tblPrEx>
          <w:shd w:val="clear" w:color="auto" w:fill="ceddeb"/>
        </w:tblPrEx>
        <w:trPr>
          <w:trHeight w:val="252" w:hRule="atLeast"/>
        </w:trPr>
        <w:tc>
          <w:tcPr>
            <w:tcW w:type="dxa" w:w="174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rtl w:val="0"/>
                <w:lang w:val="pt-PT"/>
              </w:rPr>
              <w:t>Cuvieronius</w:t>
            </w:r>
          </w:p>
        </w:tc>
        <w:tc>
          <w:tcPr>
            <w:tcW w:type="dxa" w:w="6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2</w:t>
            </w:r>
          </w:p>
        </w:tc>
        <w:tc>
          <w:tcPr>
            <w:tcW w:type="dxa" w:w="5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2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[12]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[12]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2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</w:tr>
      <w:tr>
        <w:tblPrEx>
          <w:shd w:val="clear" w:color="auto" w:fill="ceddeb"/>
        </w:tblPrEx>
        <w:trPr>
          <w:trHeight w:val="252" w:hRule="atLeast"/>
        </w:trPr>
        <w:tc>
          <w:tcPr>
            <w:tcW w:type="dxa" w:w="174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rtl w:val="0"/>
                <w:lang w:val="pt-PT"/>
              </w:rPr>
              <w:t>Rhynchotherium</w:t>
            </w:r>
          </w:p>
        </w:tc>
        <w:tc>
          <w:tcPr>
            <w:tcW w:type="dxa" w:w="6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2</w:t>
            </w:r>
          </w:p>
        </w:tc>
        <w:tc>
          <w:tcPr>
            <w:tcW w:type="dxa" w:w="5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2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2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</w:tr>
      <w:tr>
        <w:tblPrEx>
          <w:shd w:val="clear" w:color="auto" w:fill="ceddeb"/>
        </w:tblPrEx>
        <w:trPr>
          <w:trHeight w:val="252" w:hRule="atLeast"/>
        </w:trPr>
        <w:tc>
          <w:tcPr>
            <w:tcW w:type="dxa" w:w="174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rtl w:val="0"/>
                <w:lang w:val="pt-PT"/>
              </w:rPr>
              <w:t>Notiomastodon</w:t>
            </w:r>
          </w:p>
        </w:tc>
        <w:tc>
          <w:tcPr>
            <w:tcW w:type="dxa" w:w="6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[012]</w:t>
            </w:r>
          </w:p>
        </w:tc>
        <w:tc>
          <w:tcPr>
            <w:tcW w:type="dxa" w:w="5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[12]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[12]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[12]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</w:tr>
      <w:tr>
        <w:tblPrEx>
          <w:shd w:val="clear" w:color="auto" w:fill="ceddeb"/>
        </w:tblPrEx>
        <w:trPr>
          <w:trHeight w:val="252" w:hRule="atLeast"/>
        </w:trPr>
        <w:tc>
          <w:tcPr>
            <w:tcW w:type="dxa" w:w="174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rtl w:val="0"/>
                <w:lang w:val="pt-PT"/>
              </w:rPr>
              <w:t>Stegomastodon</w:t>
            </w:r>
          </w:p>
        </w:tc>
        <w:tc>
          <w:tcPr>
            <w:tcW w:type="dxa" w:w="6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5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[12]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[23]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2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</w:tr>
      <w:tr>
        <w:tblPrEx>
          <w:shd w:val="clear" w:color="auto" w:fill="ceddeb"/>
        </w:tblPrEx>
        <w:trPr>
          <w:trHeight w:val="252" w:hRule="atLeast"/>
        </w:trPr>
        <w:tc>
          <w:tcPr>
            <w:tcW w:type="dxa" w:w="174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rtl w:val="0"/>
                <w:lang w:val="pt-PT"/>
              </w:rPr>
              <w:t>Sinomastodon</w:t>
            </w:r>
          </w:p>
        </w:tc>
        <w:tc>
          <w:tcPr>
            <w:tcW w:type="dxa" w:w="6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5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2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2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</w:tr>
      <w:tr>
        <w:tblPrEx>
          <w:shd w:val="clear" w:color="auto" w:fill="ceddeb"/>
        </w:tblPrEx>
        <w:trPr>
          <w:trHeight w:val="252" w:hRule="atLeast"/>
        </w:trPr>
        <w:tc>
          <w:tcPr>
            <w:tcW w:type="dxa" w:w="174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rtl w:val="0"/>
                <w:lang w:val="pt-PT"/>
              </w:rPr>
              <w:t>Eubelodon</w:t>
            </w:r>
          </w:p>
        </w:tc>
        <w:tc>
          <w:tcPr>
            <w:tcW w:type="dxa" w:w="6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2</w:t>
            </w:r>
          </w:p>
        </w:tc>
        <w:tc>
          <w:tcPr>
            <w:tcW w:type="dxa" w:w="5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2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</w:tr>
      <w:tr>
        <w:tblPrEx>
          <w:shd w:val="clear" w:color="auto" w:fill="ceddeb"/>
        </w:tblPrEx>
        <w:trPr>
          <w:trHeight w:val="252" w:hRule="atLeast"/>
        </w:trPr>
        <w:tc>
          <w:tcPr>
            <w:tcW w:type="dxa" w:w="174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1 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rtl w:val="0"/>
                <w:lang w:val="pt-PT"/>
              </w:rPr>
              <w:t>Gnathabelodon</w:t>
            </w:r>
          </w:p>
        </w:tc>
        <w:tc>
          <w:tcPr>
            <w:tcW w:type="dxa" w:w="6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52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52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59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1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0</w:t>
            </w:r>
          </w:p>
        </w:tc>
        <w:tc>
          <w:tcPr>
            <w:tcW w:type="dxa" w:w="2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  <w:tc>
          <w:tcPr>
            <w:tcW w:type="dxa" w:w="29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stilo de Tabela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 w:hAnsi="Times New Roman"/>
                <w:rtl w:val="0"/>
                <w:lang w:val="pt-PT"/>
              </w:rPr>
              <w:t>?</w:t>
            </w:r>
          </w:p>
        </w:tc>
      </w:tr>
    </w:tbl>
    <w:p>
      <w:pPr>
        <w:pStyle w:val="Corpo A"/>
        <w:widowControl w:val="0"/>
        <w:tabs>
          <w:tab w:val="left" w:pos="851"/>
        </w:tabs>
        <w:ind w:left="108" w:hanging="108"/>
      </w:pPr>
    </w:p>
    <w:sectPr>
      <w:headerReference w:type="default" r:id="rId4"/>
      <w:footerReference w:type="default" r:id="rId5"/>
      <w:pgSz w:w="12240" w:h="15840" w:orient="portrait"/>
      <w:pgMar w:top="1440" w:right="1041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)"/>
      <w:lvlJc w:val="left"/>
      <w:pPr>
        <w:tabs>
          <w:tab w:val="left" w:pos="851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851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851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851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851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851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851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851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Estilo Importado 1">
    <w:name w:val="Estilo Importado 1"/>
    <w:pPr>
      <w:numPr>
        <w:numId w:val="1"/>
      </w:numPr>
    </w:pPr>
  </w:style>
  <w:style w:type="paragraph" w:styleId="Estilo de Tabela 1 A">
    <w:name w:val="Estilo de Tabela 1 A"/>
    <w:next w:val="Estilo de Tabela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paragraph" w:styleId="Estilo de Tabela 2 A">
    <w:name w:val="Estilo de Tabela 2 A"/>
    <w:next w:val="Estilo de Tabela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