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00" w:rsidRPr="005D6E9C" w:rsidRDefault="00C82B02" w:rsidP="0078341B">
      <w:pPr>
        <w:pStyle w:val="Heading1"/>
        <w:spacing w:line="480" w:lineRule="auto"/>
        <w:rPr>
          <w:rFonts w:eastAsiaTheme="minorHAnsi"/>
        </w:rPr>
      </w:pPr>
      <w:r>
        <w:rPr>
          <w:rFonts w:eastAsiaTheme="minorHAnsi"/>
        </w:rPr>
        <w:t>S</w:t>
      </w:r>
      <w:r w:rsidR="007C35D9">
        <w:rPr>
          <w:rFonts w:eastAsiaTheme="minorHAnsi"/>
        </w:rPr>
        <w:t>4</w:t>
      </w:r>
      <w:r w:rsidR="00515C67">
        <w:rPr>
          <w:rFonts w:eastAsiaTheme="minorHAnsi"/>
        </w:rPr>
        <w:t xml:space="preserve"> File</w:t>
      </w:r>
      <w:bookmarkStart w:id="0" w:name="_GoBack"/>
      <w:bookmarkEnd w:id="0"/>
      <w:r>
        <w:rPr>
          <w:rFonts w:eastAsiaTheme="minorHAnsi"/>
        </w:rPr>
        <w:t xml:space="preserve">: </w:t>
      </w:r>
      <w:r w:rsidR="00D31A35">
        <w:rPr>
          <w:rFonts w:eastAsiaTheme="minorHAnsi"/>
        </w:rPr>
        <w:t>Legal l</w:t>
      </w:r>
      <w:r w:rsidR="007C35D9">
        <w:rPr>
          <w:rFonts w:eastAsiaTheme="minorHAnsi"/>
        </w:rPr>
        <w:t xml:space="preserve">ogging activity </w:t>
      </w:r>
      <w:r w:rsidR="00D31A35">
        <w:rPr>
          <w:rFonts w:eastAsiaTheme="minorHAnsi"/>
        </w:rPr>
        <w:t xml:space="preserve">methods, </w:t>
      </w:r>
      <w:r w:rsidR="007C35D9">
        <w:rPr>
          <w:rFonts w:eastAsiaTheme="minorHAnsi"/>
        </w:rPr>
        <w:t>and i</w:t>
      </w:r>
      <w:r w:rsidR="00A77B00" w:rsidRPr="005D6E9C">
        <w:rPr>
          <w:rFonts w:eastAsiaTheme="minorHAnsi"/>
        </w:rPr>
        <w:t>ll</w:t>
      </w:r>
      <w:r w:rsidR="00A77B00">
        <w:rPr>
          <w:rFonts w:eastAsiaTheme="minorHAnsi"/>
        </w:rPr>
        <w:t>egal logging</w:t>
      </w:r>
      <w:r w:rsidR="007C35D9">
        <w:rPr>
          <w:rFonts w:eastAsiaTheme="minorHAnsi"/>
        </w:rPr>
        <w:t xml:space="preserve"> emissions</w:t>
      </w:r>
      <w:r w:rsidR="00D31A35">
        <w:rPr>
          <w:rFonts w:eastAsiaTheme="minorHAnsi"/>
        </w:rPr>
        <w:t xml:space="preserve"> methods and results</w:t>
      </w:r>
    </w:p>
    <w:p w:rsidR="007C35D9" w:rsidRDefault="007C35D9" w:rsidP="0078341B">
      <w:pPr>
        <w:spacing w:line="480" w:lineRule="auto"/>
        <w:rPr>
          <w:szCs w:val="24"/>
        </w:rPr>
      </w:pPr>
      <w:r>
        <w:rPr>
          <w:rFonts w:cs="Times New Roman"/>
          <w:szCs w:val="24"/>
        </w:rPr>
        <w:t>We attempted to develop a remote-sensing dataset of logging acti</w:t>
      </w:r>
      <w:r w:rsidR="0080250E">
        <w:rPr>
          <w:rFonts w:cs="Times New Roman"/>
          <w:szCs w:val="24"/>
        </w:rPr>
        <w:t xml:space="preserve">vity for </w:t>
      </w:r>
      <w:proofErr w:type="spellStart"/>
      <w:r w:rsidR="0080250E">
        <w:rPr>
          <w:rFonts w:cs="Times New Roman"/>
          <w:szCs w:val="24"/>
        </w:rPr>
        <w:t>Berau</w:t>
      </w:r>
      <w:proofErr w:type="spellEnd"/>
      <w:r w:rsidR="0080250E">
        <w:rPr>
          <w:rFonts w:cs="Times New Roman"/>
          <w:szCs w:val="24"/>
        </w:rPr>
        <w:t xml:space="preserve"> (</w:t>
      </w:r>
      <w:proofErr w:type="spellStart"/>
      <w:r w:rsidR="0080250E">
        <w:rPr>
          <w:rFonts w:cs="Times New Roman"/>
          <w:szCs w:val="24"/>
        </w:rPr>
        <w:t>CLASlite</w:t>
      </w:r>
      <w:proofErr w:type="spellEnd"/>
      <w:r w:rsidR="0080250E">
        <w:rPr>
          <w:rFonts w:cs="Times New Roman"/>
          <w:szCs w:val="24"/>
        </w:rPr>
        <w:t xml:space="preserve">, </w:t>
      </w:r>
      <w:r w:rsidR="0080250E">
        <w:rPr>
          <w:rFonts w:cs="Times New Roman"/>
          <w:szCs w:val="24"/>
        </w:rPr>
        <w:fldChar w:fldCharType="begin" w:fldLock="1"/>
      </w:r>
      <w:r w:rsidR="0080250E">
        <w:rPr>
          <w:rFonts w:cs="Times New Roman"/>
          <w:szCs w:val="24"/>
        </w:rPr>
        <w:instrText>ADDIN CSL_CITATION { "citationItems" : [ { "id" : "ITEM-1", "itemData" : { "DOI" : "10.1126/science.1118051", "ISBN" : "0036-8075", "ISSN" : "1095-9203", "PMID" : "16239474", "abstract" : "Amazon deforestation has been measured by remote sensing for three decades. In comparison, selective logging has been mostly invisible to satellites. We developed a large-scale, high-resolution, automated remote-sensing analysis of selective logging in the top five timber-producing states of the Brazilian Amazon. Logged areas ranged from 12,075 to 19,823 square kilometers per year (+/-14%) between 1999 and 2002, equivalent to 60 to 123% of previously reported deforestation area. Up to 1200 square kilometers per year of logging were observed on conservation lands. Each year, 27 million to 50 million cubic meters of wood were extracted, and a gross flux of approximately 0.1 billion metric tons of carbon was destined for release to the atmosphere by logging.", "author" : [ { "dropping-particle" : "", "family" : "Asner", "given" : "Gregory P", "non-dropping-particle" : "", "parse-names" : false, "suffix" : "" }, { "dropping-particle" : "", "family" : "Knapp", "given" : "David E", "non-dropping-particle" : "", "parse-names" : false, "suffix" : "" }, { "dropping-particle" : "", "family" : "Broadbent", "given" : "Eben N", "non-dropping-particle" : "", "parse-names" : false, "suffix" : "" }, { "dropping-particle" : "", "family" : "Oliveira", "given" : "Paulo J C", "non-dropping-particle" : "", "parse-names" : false, "suffix" : "" }, { "dropping-particle" : "", "family" : "Keller", "given" : "Michael", "non-dropping-particle" : "", "parse-names" : false, "suffix" : "" }, { "dropping-particle" : "", "family" : "Silva", "given" : "Jose N", "non-dropping-particle" : "", "parse-names" : false, "suffix" : "" } ], "container-title" : "Science", "id" : "ITEM-1", "issue" : "5747", "issued" : { "date-parts" : [ [ "2005" ] ] }, "page" : "480-482", "title" : "Selective logging in the Brazilian Amazon.", "type" : "article-journal", "volume" : "310" }, "uris" : [ "http://www.mendeley.com/documents/?uuid=e3f8b09b-d719-46c0-9ef1-b15f1a56cc39" ] } ], "mendeley" : { "formattedCitation" : "(1)", "plainTextFormattedCitation" : "(1)", "previouslyFormattedCitation" : "(1)" }, "properties" : { "noteIndex" : 0 }, "schema" : "https://github.com/citation-style-language/schema/raw/master/csl-citation.json" }</w:instrText>
      </w:r>
      <w:r w:rsidR="0080250E">
        <w:rPr>
          <w:rFonts w:cs="Times New Roman"/>
          <w:szCs w:val="24"/>
        </w:rPr>
        <w:fldChar w:fldCharType="separate"/>
      </w:r>
      <w:r w:rsidR="0080250E" w:rsidRPr="0080250E">
        <w:rPr>
          <w:rFonts w:cs="Times New Roman"/>
          <w:noProof/>
          <w:szCs w:val="24"/>
        </w:rPr>
        <w:t>(1)</w:t>
      </w:r>
      <w:r w:rsidR="0080250E">
        <w:rPr>
          <w:rFonts w:cs="Times New Roman"/>
          <w:szCs w:val="24"/>
        </w:rPr>
        <w:fldChar w:fldCharType="end"/>
      </w:r>
      <w:r>
        <w:rPr>
          <w:rFonts w:cs="Times New Roman"/>
          <w:szCs w:val="24"/>
        </w:rPr>
        <w:t xml:space="preserve">) and concluded that it was not feasible due to persistent cloud cover in </w:t>
      </w:r>
      <w:proofErr w:type="spellStart"/>
      <w:r>
        <w:rPr>
          <w:rFonts w:cs="Times New Roman"/>
          <w:szCs w:val="24"/>
        </w:rPr>
        <w:t>Berau</w:t>
      </w:r>
      <w:proofErr w:type="spellEnd"/>
      <w:r>
        <w:rPr>
          <w:rFonts w:cs="Times New Roman"/>
          <w:szCs w:val="24"/>
        </w:rPr>
        <w:t xml:space="preserve"> as represented in available Landsat imagery and considering that the limited time window for detecting the signal of selective logging. We thus concluded that t</w:t>
      </w:r>
      <w:r>
        <w:rPr>
          <w:szCs w:val="24"/>
        </w:rPr>
        <w:t>here are currently no passive remote sensing methods for measuring or monitoring skidding and felling activity</w:t>
      </w:r>
      <w:r w:rsidRPr="004C3CBF">
        <w:rPr>
          <w:szCs w:val="24"/>
        </w:rPr>
        <w:t xml:space="preserve"> </w:t>
      </w:r>
      <w:r>
        <w:rPr>
          <w:szCs w:val="24"/>
        </w:rPr>
        <w:t xml:space="preserve">at the scale of </w:t>
      </w:r>
      <w:proofErr w:type="spellStart"/>
      <w:r>
        <w:rPr>
          <w:szCs w:val="24"/>
        </w:rPr>
        <w:t>Berau</w:t>
      </w:r>
      <w:proofErr w:type="spellEnd"/>
      <w:r>
        <w:rPr>
          <w:szCs w:val="24"/>
        </w:rPr>
        <w:t xml:space="preserve"> with sufficient accuracy. Some studies have used haul road construction as an overall</w:t>
      </w:r>
      <w:r w:rsidR="0080250E">
        <w:rPr>
          <w:szCs w:val="24"/>
        </w:rPr>
        <w:t xml:space="preserve"> indicator of logging activity </w:t>
      </w:r>
      <w:r w:rsidR="0080250E">
        <w:rPr>
          <w:szCs w:val="24"/>
        </w:rPr>
        <w:fldChar w:fldCharType="begin" w:fldLock="1"/>
      </w:r>
      <w:r w:rsidR="0080250E">
        <w:rPr>
          <w:szCs w:val="24"/>
        </w:rPr>
        <w:instrText>ADDIN CSL_CITATION { "citationItems" : [ { "id" : "ITEM-1", "itemData" : { "author" : [ { "dropping-particle" : "", "family" : "Margono", "given" : "Belinda", "non-dropping-particle" : "", "parse-names" : false, "suffix" : "" }, { "dropping-particle" : "V.", "family" : "Potapov", "given" : "Peter", "non-dropping-particle" : "", "parse-names" : false, "suffix" : "" }, { "dropping-particle" : "", "family" : "Turubanova", "given" : "S.", "non-dropping-particle" : "", "parse-names" : false, "suffix" : "" }, { "dropping-particle" : "", "family" : "Stolle", "given" : "F.", "non-dropping-particle" : "", "parse-names" : false, "suffix" : "" }, { "dropping-particle" : "", "family" : "Hansen", "given" : "M.", "non-dropping-particle" : "", "parse-names" : false, "suffix" : "" } ], "container-title" : "Nature Climate Change", "id" : "ITEM-1", "issued" : { "date-parts" : [ [ "2014" ] ] }, "page" : "730-735", "title" : "Primary forest cover loss in Indonesia over 2000\u20132012", "type" : "article-journal", "volume" : "4" }, "uris" : [ "http://www.mendeley.com/documents/?uuid=7fae4c0b-9621-4d9a-938a-01548bd501c4" ] }, { "id" : "ITEM-2", "itemData" : { "DOI" : "10.1371/journal.pone.0069679", "ISBN" : "1932-6203", "ISSN" : "19326203", "PMID" : "23874983", "abstract" : "The Malaysian states of Sabah and Sarawak are global hotspots of forest loss and degradation due to timber and oil palm industries; however, the rates and patterns of change have remained poorly measured by conventional field or satellite approaches. Using 30 m resolution optical imagery acquired since 1990, forest cover and logging roads were mapped throughout Malaysian Borneo and Brunei using the Carnegie Landsat Analysis System. We uncovered,364,000 km of roads constructed through the forests of this region. We estimated that in 2009 there were at most 45,400 km2 of intact forest ecosystems in Malaysian Borneo and Brunei. Critically, we found that nearly 80% of the land surface of Sabah and Sarawak was impacted by previously undocumented, high-impact logging or clearing operations from 1990 to 2009. This contrasted strongly with neighbouring Brunei, where 54% of the land area remained covered by unlogged forest. Overall, only 8% and 3% of land area in Sabah and Sarawak, respectively, was covered by intact forests under designated protected areas. Our assessment shows that very few forest ecosystems remain intact in Sabah or Sarawak, but that Brunei, by largely excluding industrial logging from its borders, has been comparatively successful in protecting its forests.", "author" : [ { "dropping-particle" : "", "family" : "Bryan", "given" : "Jane E.", "non-dropping-particle" : "", "parse-names" : false, "suffix" : "" }, { "dropping-particle" : "", "family" : "Shearman", "given" : "Philip L.", "non-dropping-particle" : "", "parse-names" : false, "suffix" : "" }, { "dropping-particle" : "", "family" : "Asner", "given" : "Gregory P.", "non-dropping-particle" : "", "parse-names" : false, "suffix" : "" }, { "dropping-particle" : "", "family" : "Knapp", "given" : "David E.", "non-dropping-particle" : "", "parse-names" : false, "suffix" : "" }, { "dropping-particle" : "", "family" : "Aoro", "given" : "Geraldine", "non-dropping-particle" : "", "parse-names" : false, "suffix" : "" }, { "dropping-particle" : "", "family" : "Lokes", "given" : "Barbara", "non-dropping-particle" : "", "parse-names" : false, "suffix" : "" } ], "container-title" : "PLoS ONE", "id" : "ITEM-2", "issue" : "7", "issued" : { "date-parts" : [ [ "2013" ] ] }, "title" : "Extreme Differences in Forest Degradation in Borneo: Comparing Practices in Sarawak, Sabah, and Brunei", "type" : "article-journal", "volume" : "8" }, "uris" : [ "http://www.mendeley.com/documents/?uuid=f50984d4-d063-4299-87a7-b926d02c33ed" ] }, { "id" : "ITEM-3", "itemData" : { "DOI" : "10.1126/science.1141057", "ISBN" : "0036-8075", "ISSN" : "0036-8075", "PMID" : "17556578", "abstract" : "Industrial logging has become the most extensive land use in Central Africa, with more than 600,000 square kilometers (30%) of forest currently under concession. With use of a time series of satellite imagery for the period from 1976 to 2003, we measured 51,916 kilometers of new logging roads. The density of roads across the forested region was 0.03 kilometer per square kilometer, but areas of Gabon and Equatorial Guinea had values over 0.09 kilometer per square kilometer. A new frontier of logging expansion was identified within the Democratic Republic of Congo, which contains 63% of the remaining forest of the region. Tree felling and skid trails increased disturbance in selectively logged areas.", "author" : [ { "dropping-particle" : "", "family" : "Laporte", "given" : "Nadine T", "non-dropping-particle" : "", "parse-names" : false, "suffix" : "" }, { "dropping-particle" : "", "family" : "Stabach", "given" : "Jared a", "non-dropping-particle" : "", "parse-names" : false, "suffix" : "" }, { "dropping-particle" : "", "family" : "Grosch", "given" : "Robert", "non-dropping-particle" : "", "parse-names" : false, "suffix" : "" }, { "dropping-particle" : "", "family" : "Lin", "given" : "Tiffany S", "non-dropping-particle" : "", "parse-names" : false, "suffix" : "" }, { "dropping-particle" : "", "family" : "Goetz", "given" : "Scott J", "non-dropping-particle" : "", "parse-names" : false, "suffix" : "" } ], "container-title" : "Science (New York, N.Y.)", "id" : "ITEM-3", "issue" : "5830", "issued" : { "date-parts" : [ [ "2007" ] ] }, "page" : "1451", "title" : "Expansion of industrial logging in Central Africa.", "type" : "article-journal", "volume" : "316" }, "uris" : [ "http://www.mendeley.com/documents/?uuid=99c3af10-21d2-41d9-9357-78505624cbee" ] } ], "mendeley" : { "formattedCitation" : "(2\u20134)", "plainTextFormattedCitation" : "(2\u20134)", "previouslyFormattedCitation" : "(2\u20134)" }, "properties" : { "noteIndex" : 0 }, "schema" : "https://github.com/citation-style-language/schema/raw/master/csl-citation.json" }</w:instrText>
      </w:r>
      <w:r w:rsidR="0080250E">
        <w:rPr>
          <w:szCs w:val="24"/>
        </w:rPr>
        <w:fldChar w:fldCharType="separate"/>
      </w:r>
      <w:r w:rsidR="0080250E" w:rsidRPr="0080250E">
        <w:rPr>
          <w:noProof/>
          <w:szCs w:val="24"/>
        </w:rPr>
        <w:t>(2–4)</w:t>
      </w:r>
      <w:r w:rsidR="0080250E">
        <w:rPr>
          <w:szCs w:val="24"/>
        </w:rPr>
        <w:fldChar w:fldCharType="end"/>
      </w:r>
      <w:r>
        <w:rPr>
          <w:szCs w:val="24"/>
        </w:rPr>
        <w:t xml:space="preserve">. We concluded that this approach was insufficient for our carbon accounting purposes because (i) it does not capture felling and skidding operations that use preexisting haul roads (frequently observed in </w:t>
      </w:r>
      <w:proofErr w:type="spellStart"/>
      <w:r>
        <w:rPr>
          <w:szCs w:val="24"/>
        </w:rPr>
        <w:t>Berau</w:t>
      </w:r>
      <w:proofErr w:type="spellEnd"/>
      <w:r>
        <w:rPr>
          <w:szCs w:val="24"/>
        </w:rPr>
        <w:t xml:space="preserve"> region by Griscom </w:t>
      </w:r>
      <w:r w:rsidR="0080250E">
        <w:rPr>
          <w:i/>
          <w:szCs w:val="24"/>
        </w:rPr>
        <w:t xml:space="preserve">et al. </w:t>
      </w:r>
      <w:r w:rsidR="0080250E">
        <w:rPr>
          <w:i/>
          <w:szCs w:val="24"/>
        </w:rPr>
        <w:fldChar w:fldCharType="begin" w:fldLock="1"/>
      </w:r>
      <w:r w:rsidR="0080250E">
        <w:rPr>
          <w:i/>
          <w:szCs w:val="24"/>
        </w:rPr>
        <w:instrText>ADDIN CSL_CITATION { "citationItems" : [ { "id" : "ITEM-1", "itemData" : { "DOI" : "10.1111/gcb.12386", "ISSN" : "13541013", "PMID" : "24022913", "abstract" : "Adoption of reduced-impact logging (RIL) methods could reduce CO2 emissions by 30-50% across at least 20% of remaining tropical forests. We developed two cost effective and robust indices for comparing the climate benefits (reduced CO2 emissions) due to RIL. The indices correct for variability in the volume of commercial timber among concessions. We determined that a correction for variability in terrain slope was not needed. We found that concessions certified by the Forest Stewardship Council (FSC, N\u00a0=\u00a03), when compared with noncertified concessions (N\u00a0=\u00a06), did not have lower overall CO2 emissions from logging activity (felling, skidding, and hauling). On the other hand, FSC certified concessions did have lower emissions from one type of logging impact (skidding), and we found evidence of a range of improved practices using other field metrics. One explanation of these results may be that FSC criteria and indicators, and associated RIL practices, were not designed to achieve overall emissions reductions. Also, commonly used field metrics are not reliable proxies for overall logging emissions performance. Furthermore, the simple distinction between certified and noncertified concessions does not fully represent the complex history of investments in improved logging practices. To clarify the relationship between RIL and emissions reductions, we propose the more explicit term 'RIL-C' to refer to the subset of RIL practices that can be defined by quantified thresholds and that result in measurable emissions reductions. If tropical forest certification is to be linked with CO2 emissions reductions, certification standards need to explicitly require RIL-C practices.", "author" : [ { "dropping-particle" : "", "family" : "Griscom", "given" : "Bronson", "non-dropping-particle" : "", "parse-names" : false, "suffix" : "" }, { "dropping-particle" : "", "family" : "Ellis", "given" : "Peter", "non-dropping-particle" : "", "parse-names" : false, "suffix" : "" }, { "dropping-particle" : "", "family" : "Putz", "given" : "Francis E.", "non-dropping-particle" : "", "parse-names" : false, "suffix" : "" } ], "container-title" : "Global Change Biology", "id" : "ITEM-1", "issue" : "3", "issued" : { "date-parts" : [ [ "2014" ] ] }, "page" : "923-937", "title" : "Carbon emissions performance of commercial logging in East Kalimantan, Indonesia", "type" : "article-journal", "volume" : "20" }, "uris" : [ "http://www.mendeley.com/documents/?uuid=715d4691-e57a-4075-8dbb-f46e717f6d54" ] } ], "mendeley" : { "formattedCitation" : "(5)", "plainTextFormattedCitation" : "(5)", "previouslyFormattedCitation" : "(5)" }, "properties" : { "noteIndex" : 0 }, "schema" : "https://github.com/citation-style-language/schema/raw/master/csl-citation.json" }</w:instrText>
      </w:r>
      <w:r w:rsidR="0080250E">
        <w:rPr>
          <w:i/>
          <w:szCs w:val="24"/>
        </w:rPr>
        <w:fldChar w:fldCharType="separate"/>
      </w:r>
      <w:r w:rsidR="0080250E" w:rsidRPr="0080250E">
        <w:rPr>
          <w:noProof/>
          <w:szCs w:val="24"/>
        </w:rPr>
        <w:t>(5)</w:t>
      </w:r>
      <w:r w:rsidR="0080250E">
        <w:rPr>
          <w:i/>
          <w:szCs w:val="24"/>
        </w:rPr>
        <w:fldChar w:fldCharType="end"/>
      </w:r>
      <w:r>
        <w:rPr>
          <w:szCs w:val="24"/>
        </w:rPr>
        <w:t>), and (ii) it is not able to differentiate haul roads within an annual cutting block (proximate to felling and skidding) from haul roads not proximate to felling and skidding activity (e.g. extensive logging access roads, or roads for purposes other than logging such as coal mining and initiation of oil palm conversion). Thus we made a conservative assumption that commercial logging skidding and felling activity is limited to logging reported by the government, which we refer to as “legal logging</w:t>
      </w:r>
      <w:r w:rsidR="00900408">
        <w:rPr>
          <w:szCs w:val="24"/>
        </w:rPr>
        <w:t xml:space="preserve">.” </w:t>
      </w:r>
      <w:r>
        <w:rPr>
          <w:szCs w:val="24"/>
        </w:rPr>
        <w:t>For the 43% of the concession-years for which we were unable to acquire logging records, we estimated harvest levels based on total concession area and the average harvest rates in concession-years with records (</w:t>
      </w:r>
      <w:r w:rsidR="00400566">
        <w:rPr>
          <w:szCs w:val="24"/>
        </w:rPr>
        <w:t xml:space="preserve">S4 </w:t>
      </w:r>
      <w:r>
        <w:rPr>
          <w:szCs w:val="24"/>
        </w:rPr>
        <w:t xml:space="preserve">Table </w:t>
      </w:r>
      <w:r w:rsidR="00900408">
        <w:rPr>
          <w:szCs w:val="24"/>
        </w:rPr>
        <w:t>A</w:t>
      </w:r>
      <w:r>
        <w:rPr>
          <w:szCs w:val="24"/>
        </w:rPr>
        <w:t>).</w:t>
      </w:r>
    </w:p>
    <w:p w:rsidR="005B1F4B" w:rsidRDefault="00A77B00" w:rsidP="0078341B">
      <w:pPr>
        <w:spacing w:line="480" w:lineRule="auto"/>
        <w:rPr>
          <w:rFonts w:eastAsiaTheme="minorHAnsi" w:cs="Times New Roman"/>
          <w:szCs w:val="24"/>
          <w:u w:val="single"/>
        </w:rPr>
      </w:pPr>
      <w:r>
        <w:rPr>
          <w:szCs w:val="24"/>
        </w:rPr>
        <w:t>We suspect</w:t>
      </w:r>
      <w:r w:rsidRPr="000C7297">
        <w:rPr>
          <w:szCs w:val="24"/>
        </w:rPr>
        <w:t xml:space="preserve"> that illegal logging may be a substantial source of unquantified emissions</w:t>
      </w:r>
      <w:r>
        <w:rPr>
          <w:szCs w:val="24"/>
        </w:rPr>
        <w:t xml:space="preserve">. </w:t>
      </w:r>
      <w:r w:rsidRPr="000C7297">
        <w:rPr>
          <w:szCs w:val="24"/>
        </w:rPr>
        <w:t xml:space="preserve">We generated a preliminary estimate of illegal logging emissions by applying our field-based </w:t>
      </w:r>
      <w:r w:rsidRPr="000C7297">
        <w:rPr>
          <w:szCs w:val="24"/>
        </w:rPr>
        <w:lastRenderedPageBreak/>
        <w:t xml:space="preserve">estimate of emissions </w:t>
      </w:r>
      <w:r>
        <w:rPr>
          <w:szCs w:val="24"/>
        </w:rPr>
        <w:t xml:space="preserve">per unit timber volume </w:t>
      </w:r>
      <w:r w:rsidR="0080250E">
        <w:rPr>
          <w:szCs w:val="24"/>
        </w:rPr>
        <w:fldChar w:fldCharType="begin" w:fldLock="1"/>
      </w:r>
      <w:r w:rsidR="0080250E">
        <w:rPr>
          <w:szCs w:val="24"/>
        </w:rPr>
        <w:instrText>ADDIN CSL_CITATION { "citationItems" : [ { "id" : "ITEM-1", "itemData" : { "DOI" : "10.1111/gcb.12386", "ISSN" : "13541013", "PMID" : "24022913", "abstract" : "Adoption of reduced-impact logging (RIL) methods could reduce CO2 emissions by 30-50% across at least 20% of remaining tropical forests. We developed two cost effective and robust indices for comparing the climate benefits (reduced CO2 emissions) due to RIL. The indices correct for variability in the volume of commercial timber among concessions. We determined that a correction for variability in terrain slope was not needed. We found that concessions certified by the Forest Stewardship Council (FSC, N\u00a0=\u00a03), when compared with noncertified concessions (N\u00a0=\u00a06), did not have lower overall CO2 emissions from logging activity (felling, skidding, and hauling). On the other hand, FSC certified concessions did have lower emissions from one type of logging impact (skidding), and we found evidence of a range of improved practices using other field metrics. One explanation of these results may be that FSC criteria and indicators, and associated RIL practices, were not designed to achieve overall emissions reductions. Also, commonly used field metrics are not reliable proxies for overall logging emissions performance. Furthermore, the simple distinction between certified and noncertified concessions does not fully represent the complex history of investments in improved logging practices. To clarify the relationship between RIL and emissions reductions, we propose the more explicit term 'RIL-C' to refer to the subset of RIL practices that can be defined by quantified thresholds and that result in measurable emissions reductions. If tropical forest certification is to be linked with CO2 emissions reductions, certification standards need to explicitly require RIL-C practices.", "author" : [ { "dropping-particle" : "", "family" : "Griscom", "given" : "Bronson", "non-dropping-particle" : "", "parse-names" : false, "suffix" : "" }, { "dropping-particle" : "", "family" : "Ellis", "given" : "Peter", "non-dropping-particle" : "", "parse-names" : false, "suffix" : "" }, { "dropping-particle" : "", "family" : "Putz", "given" : "Francis E.", "non-dropping-particle" : "", "parse-names" : false, "suffix" : "" } ], "container-title" : "Global Change Biology", "id" : "ITEM-1", "issue" : "3", "issued" : { "date-parts" : [ [ "2014" ] ] }, "page" : "923-937", "title" : "Carbon emissions performance of commercial logging in East Kalimantan, Indonesia", "type" : "article-journal", "volume" : "20" }, "uris" : [ "http://www.mendeley.com/documents/?uuid=715d4691-e57a-4075-8dbb-f46e717f6d54" ] } ], "mendeley" : { "formattedCitation" : "(5)", "plainTextFormattedCitation" : "(5)", "previouslyFormattedCitation" : "(5)" }, "properties" : { "noteIndex" : 0 }, "schema" : "https://github.com/citation-style-language/schema/raw/master/csl-citation.json" }</w:instrText>
      </w:r>
      <w:r w:rsidR="0080250E">
        <w:rPr>
          <w:szCs w:val="24"/>
        </w:rPr>
        <w:fldChar w:fldCharType="separate"/>
      </w:r>
      <w:r w:rsidR="0080250E" w:rsidRPr="0080250E">
        <w:rPr>
          <w:noProof/>
          <w:szCs w:val="24"/>
        </w:rPr>
        <w:t>(5)</w:t>
      </w:r>
      <w:r w:rsidR="0080250E">
        <w:rPr>
          <w:szCs w:val="24"/>
        </w:rPr>
        <w:fldChar w:fldCharType="end"/>
      </w:r>
      <w:r w:rsidRPr="000C7297">
        <w:rPr>
          <w:szCs w:val="24"/>
        </w:rPr>
        <w:t xml:space="preserve"> to the mean of reported values for the volume of timber generated from </w:t>
      </w:r>
      <w:proofErr w:type="spellStart"/>
      <w:r w:rsidRPr="000C7297">
        <w:rPr>
          <w:szCs w:val="24"/>
        </w:rPr>
        <w:t>Berau</w:t>
      </w:r>
      <w:proofErr w:type="spellEnd"/>
      <w:r w:rsidRPr="000C7297">
        <w:rPr>
          <w:szCs w:val="24"/>
        </w:rPr>
        <w:t xml:space="preserve"> by illegal logging</w:t>
      </w:r>
      <w:r w:rsidR="0080250E">
        <w:rPr>
          <w:szCs w:val="24"/>
        </w:rPr>
        <w:t xml:space="preserve"> </w:t>
      </w:r>
      <w:r w:rsidR="0080250E">
        <w:rPr>
          <w:szCs w:val="24"/>
        </w:rPr>
        <w:fldChar w:fldCharType="begin" w:fldLock="1"/>
      </w:r>
      <w:r w:rsidR="0080250E">
        <w:rPr>
          <w:szCs w:val="24"/>
        </w:rPr>
        <w:instrText>ADDIN CSL_CITATION { "citationItems" : [ { "id" : "ITEM-1", "itemData" : { "ISBN" : "9798764862", "author" : [ { "dropping-particle" : "", "family" : "Obidzinski", "given" : "Krystof", "non-dropping-particle" : "", "parse-names" : false, "suffix" : "" }, { "dropping-particle" : "", "family" : "Barr", "given" : "Christopher", "non-dropping-particle" : "", "parse-names" : false, "suffix" : "" } ], "container-title" : "Decentralisation of forest administration in Indonesia: Implications for forest sustainability, community livelihoods, and economic development", "id" : "ITEM-1", "issued" : { "date-parts" : [ [ "2003" ] ] }, "publisher-place" : "Jakarta, Indonesia", "title" : "The effects decentralisation on forests and forest industries in Berau district, East Kalimantan", "type" : "chapter" }, "uris" : [ "http://www.mendeley.com/documents/?uuid=c4b4778b-d616-46aa-ac4c-a43f2383d24f" ] }, { "id" : "ITEM-2", "itemData" : { "author" : [ { "dropping-particle" : "", "family" : "Obidzinski", "given" : "Krystof", "non-dropping-particle" : "", "parse-names" : false, "suffix" : "" }, { "dropping-particle" : "", "family" : "Andrianto", "given" : "Agus", "non-dropping-particle" : "", "parse-names" : false, "suffix" : "" } ], "id" : "ITEM-2", "issue" : "April", "issued" : { "date-parts" : [ [ "2005" ] ] }, "publisher-place" : "Bogor Barat , Indonesia", "title" : "Illegal Forestry Activities in Berau and East Kutai Districts, East Kalimantan: Impacts on Economy, Environment, and Society. Forest Governance Program, Center for International Forestry Research (CIFOR)", "type" : "report" }, "uris" : [ "http://www.mendeley.com/documents/?uuid=59447031-a171-4600-b2e0-81e77cd43730" ] } ], "mendeley" : { "formattedCitation" : "(6,7)", "plainTextFormattedCitation" : "(6,7)", "previouslyFormattedCitation" : "(6,7)" }, "properties" : { "noteIndex" : 0 }, "schema" : "https://github.com/citation-style-language/schema/raw/master/csl-citation.json" }</w:instrText>
      </w:r>
      <w:r w:rsidR="0080250E">
        <w:rPr>
          <w:szCs w:val="24"/>
        </w:rPr>
        <w:fldChar w:fldCharType="separate"/>
      </w:r>
      <w:r w:rsidR="0080250E" w:rsidRPr="0080250E">
        <w:rPr>
          <w:noProof/>
          <w:szCs w:val="24"/>
        </w:rPr>
        <w:t>(6,7)</w:t>
      </w:r>
      <w:r w:rsidR="0080250E">
        <w:rPr>
          <w:szCs w:val="24"/>
        </w:rPr>
        <w:fldChar w:fldCharType="end"/>
      </w:r>
      <w:r>
        <w:rPr>
          <w:szCs w:val="24"/>
        </w:rPr>
        <w:t xml:space="preserve">. </w:t>
      </w:r>
      <w:r w:rsidRPr="000C7297">
        <w:rPr>
          <w:szCs w:val="24"/>
        </w:rPr>
        <w:t>With this approach, we estimated that about</w:t>
      </w:r>
      <w:r>
        <w:rPr>
          <w:szCs w:val="24"/>
        </w:rPr>
        <w:t xml:space="preserve"> 336,000 m</w:t>
      </w:r>
      <w:r w:rsidRPr="00E718FD">
        <w:rPr>
          <w:szCs w:val="24"/>
          <w:vertAlign w:val="superscript"/>
        </w:rPr>
        <w:t>3</w:t>
      </w:r>
      <w:r>
        <w:rPr>
          <w:szCs w:val="24"/>
        </w:rPr>
        <w:t xml:space="preserve"> of wood </w:t>
      </w:r>
      <w:proofErr w:type="spellStart"/>
      <w:r>
        <w:rPr>
          <w:szCs w:val="24"/>
        </w:rPr>
        <w:t>gerenating</w:t>
      </w:r>
      <w:proofErr w:type="spellEnd"/>
      <w:r w:rsidRPr="000C7297">
        <w:rPr>
          <w:szCs w:val="24"/>
        </w:rPr>
        <w:t xml:space="preserve"> </w:t>
      </w:r>
      <w:r>
        <w:rPr>
          <w:szCs w:val="24"/>
        </w:rPr>
        <w:t xml:space="preserve">1 </w:t>
      </w:r>
      <w:proofErr w:type="spellStart"/>
      <w:r>
        <w:rPr>
          <w:szCs w:val="24"/>
        </w:rPr>
        <w:t>Tg</w:t>
      </w:r>
      <w:proofErr w:type="spellEnd"/>
      <w:r w:rsidRPr="000C7297">
        <w:rPr>
          <w:szCs w:val="24"/>
        </w:rPr>
        <w:t xml:space="preserve"> CO</w:t>
      </w:r>
      <w:r w:rsidRPr="006A54AC">
        <w:rPr>
          <w:szCs w:val="24"/>
          <w:vertAlign w:val="superscript"/>
        </w:rPr>
        <w:t>2</w:t>
      </w:r>
      <w:r w:rsidRPr="000C7297">
        <w:rPr>
          <w:szCs w:val="24"/>
        </w:rPr>
        <w:t xml:space="preserve"> are produced by illegal logging each year, which would represent a </w:t>
      </w:r>
      <w:r>
        <w:rPr>
          <w:szCs w:val="24"/>
        </w:rPr>
        <w:t>9</w:t>
      </w:r>
      <w:r w:rsidRPr="000C7297">
        <w:rPr>
          <w:szCs w:val="24"/>
        </w:rPr>
        <w:t xml:space="preserve">% increase </w:t>
      </w:r>
      <w:r>
        <w:rPr>
          <w:szCs w:val="24"/>
        </w:rPr>
        <w:t>in</w:t>
      </w:r>
      <w:r w:rsidRPr="000C7297">
        <w:rPr>
          <w:szCs w:val="24"/>
        </w:rPr>
        <w:t xml:space="preserve"> gross forest carbon emissions in </w:t>
      </w:r>
      <w:proofErr w:type="spellStart"/>
      <w:r w:rsidRPr="000C7297">
        <w:rPr>
          <w:szCs w:val="24"/>
        </w:rPr>
        <w:t>Berau</w:t>
      </w:r>
      <w:proofErr w:type="spellEnd"/>
      <w:r>
        <w:rPr>
          <w:szCs w:val="24"/>
        </w:rPr>
        <w:t xml:space="preserve">. We do not include this illegal logging emissions estimate in our overall emissions estimates because we do not understand the empirical basis for the methods described by </w:t>
      </w:r>
      <w:proofErr w:type="spellStart"/>
      <w:r w:rsidRPr="000C7297">
        <w:rPr>
          <w:szCs w:val="24"/>
        </w:rPr>
        <w:t>Obidzinsky</w:t>
      </w:r>
      <w:proofErr w:type="spellEnd"/>
      <w:r w:rsidRPr="000C7297">
        <w:rPr>
          <w:szCs w:val="24"/>
        </w:rPr>
        <w:t xml:space="preserve"> and Barr </w:t>
      </w:r>
      <w:r w:rsidR="0080250E">
        <w:rPr>
          <w:szCs w:val="24"/>
        </w:rPr>
        <w:fldChar w:fldCharType="begin" w:fldLock="1"/>
      </w:r>
      <w:r w:rsidR="0080250E">
        <w:rPr>
          <w:szCs w:val="24"/>
        </w:rPr>
        <w:instrText>ADDIN CSL_CITATION { "citationItems" : [ { "id" : "ITEM-1", "itemData" : { "ISBN" : "9798764862", "author" : [ { "dropping-particle" : "", "family" : "Obidzinski", "given" : "Krystof", "non-dropping-particle" : "", "parse-names" : false, "suffix" : "" }, { "dropping-particle" : "", "family" : "Barr", "given" : "Christopher", "non-dropping-particle" : "", "parse-names" : false, "suffix" : "" } ], "container-title" : "Decentralisation of forest administration in Indonesia: Implications for forest sustainability, community livelihoods, and economic development", "id" : "ITEM-1", "issued" : { "date-parts" : [ [ "2003" ] ] }, "publisher-place" : "Jakarta, Indonesia", "title" : "The effects decentralisation on forests and forest industries in Berau district, East Kalimantan", "type" : "chapter" }, "uris" : [ "http://www.mendeley.com/documents/?uuid=c4b4778b-d616-46aa-ac4c-a43f2383d24f" ] } ], "mendeley" : { "formattedCitation" : "(6)", "plainTextFormattedCitation" : "(6)", "previouslyFormattedCitation" : "(6)" }, "properties" : { "noteIndex" : 0 }, "schema" : "https://github.com/citation-style-language/schema/raw/master/csl-citation.json" }</w:instrText>
      </w:r>
      <w:r w:rsidR="0080250E">
        <w:rPr>
          <w:szCs w:val="24"/>
        </w:rPr>
        <w:fldChar w:fldCharType="separate"/>
      </w:r>
      <w:r w:rsidR="0080250E" w:rsidRPr="0080250E">
        <w:rPr>
          <w:noProof/>
          <w:szCs w:val="24"/>
        </w:rPr>
        <w:t>(6)</w:t>
      </w:r>
      <w:r w:rsidR="0080250E">
        <w:rPr>
          <w:szCs w:val="24"/>
        </w:rPr>
        <w:fldChar w:fldCharType="end"/>
      </w:r>
      <w:r w:rsidR="0080250E">
        <w:rPr>
          <w:szCs w:val="24"/>
        </w:rPr>
        <w:t xml:space="preserve"> and </w:t>
      </w:r>
      <w:proofErr w:type="spellStart"/>
      <w:r w:rsidR="0080250E">
        <w:rPr>
          <w:szCs w:val="24"/>
        </w:rPr>
        <w:t>Obidzinski</w:t>
      </w:r>
      <w:proofErr w:type="spellEnd"/>
      <w:r w:rsidR="0080250E">
        <w:rPr>
          <w:szCs w:val="24"/>
        </w:rPr>
        <w:t xml:space="preserve"> and </w:t>
      </w:r>
      <w:proofErr w:type="spellStart"/>
      <w:r w:rsidR="0080250E">
        <w:rPr>
          <w:szCs w:val="24"/>
        </w:rPr>
        <w:t>Andrianto</w:t>
      </w:r>
      <w:proofErr w:type="spellEnd"/>
      <w:r w:rsidR="0080250E">
        <w:rPr>
          <w:szCs w:val="24"/>
        </w:rPr>
        <w:t xml:space="preserve"> </w:t>
      </w:r>
      <w:r w:rsidR="0080250E">
        <w:rPr>
          <w:szCs w:val="24"/>
        </w:rPr>
        <w:fldChar w:fldCharType="begin" w:fldLock="1"/>
      </w:r>
      <w:r w:rsidR="0080250E">
        <w:rPr>
          <w:szCs w:val="24"/>
        </w:rPr>
        <w:instrText>ADDIN CSL_CITATION { "citationItems" : [ { "id" : "ITEM-1", "itemData" : { "author" : [ { "dropping-particle" : "", "family" : "Obidzinski", "given" : "Krystof", "non-dropping-particle" : "", "parse-names" : false, "suffix" : "" }, { "dropping-particle" : "", "family" : "Andrianto", "given" : "Agus", "non-dropping-particle" : "", "parse-names" : false, "suffix" : "" } ], "id" : "ITEM-1", "issue" : "April", "issued" : { "date-parts" : [ [ "2005" ] ] }, "publisher-place" : "Bogor Barat , Indonesia", "title" : "Illegal Forestry Activities in Berau and East Kutai Districts, East Kalimantan: Impacts on Economy, Environment, and Society. Forest Governance Program, Center for International Forestry Research (CIFOR)", "type" : "report" }, "uris" : [ "http://www.mendeley.com/documents/?uuid=59447031-a171-4600-b2e0-81e77cd43730" ] } ], "mendeley" : { "formattedCitation" : "(7)", "plainTextFormattedCitation" : "(7)", "previouslyFormattedCitation" : "(7)" }, "properties" : { "noteIndex" : 0 }, "schema" : "https://github.com/citation-style-language/schema/raw/master/csl-citation.json" }</w:instrText>
      </w:r>
      <w:r w:rsidR="0080250E">
        <w:rPr>
          <w:szCs w:val="24"/>
        </w:rPr>
        <w:fldChar w:fldCharType="separate"/>
      </w:r>
      <w:r w:rsidR="0080250E" w:rsidRPr="0080250E">
        <w:rPr>
          <w:noProof/>
          <w:szCs w:val="24"/>
        </w:rPr>
        <w:t>(7)</w:t>
      </w:r>
      <w:r w:rsidR="0080250E">
        <w:rPr>
          <w:szCs w:val="24"/>
        </w:rPr>
        <w:fldChar w:fldCharType="end"/>
      </w:r>
      <w:r w:rsidR="006C0E5A">
        <w:rPr>
          <w:szCs w:val="24"/>
        </w:rPr>
        <w:t xml:space="preserve">. We also do not know </w:t>
      </w:r>
      <w:r>
        <w:rPr>
          <w:szCs w:val="24"/>
        </w:rPr>
        <w:t>whether it is appropriate to apply our estimate of emissions per unit timber volume to their illegal harvest volume figures.</w:t>
      </w:r>
    </w:p>
    <w:p w:rsidR="0032303F" w:rsidRDefault="0032303F" w:rsidP="0078341B">
      <w:pPr>
        <w:spacing w:line="480" w:lineRule="auto"/>
        <w:rPr>
          <w:szCs w:val="24"/>
        </w:rPr>
        <w:sectPr w:rsidR="0032303F" w:rsidSect="0032303F">
          <w:footerReference w:type="default" r:id="rId9"/>
          <w:pgSz w:w="12240" w:h="15840"/>
          <w:pgMar w:top="1440" w:right="1440" w:bottom="1440" w:left="1440" w:header="720" w:footer="720" w:gutter="0"/>
          <w:cols w:space="720"/>
          <w:docGrid w:linePitch="360"/>
        </w:sectPr>
      </w:pPr>
    </w:p>
    <w:tbl>
      <w:tblPr>
        <w:tblW w:w="0" w:type="auto"/>
        <w:tblInd w:w="108" w:type="dxa"/>
        <w:tblLayout w:type="fixed"/>
        <w:tblLook w:val="04A0" w:firstRow="1" w:lastRow="0" w:firstColumn="1" w:lastColumn="0" w:noHBand="0" w:noVBand="1"/>
      </w:tblPr>
      <w:tblGrid>
        <w:gridCol w:w="2610"/>
        <w:gridCol w:w="897"/>
        <w:gridCol w:w="739"/>
        <w:gridCol w:w="739"/>
        <w:gridCol w:w="739"/>
        <w:gridCol w:w="732"/>
        <w:gridCol w:w="732"/>
        <w:gridCol w:w="732"/>
        <w:gridCol w:w="732"/>
        <w:gridCol w:w="740"/>
        <w:gridCol w:w="740"/>
        <w:gridCol w:w="732"/>
        <w:gridCol w:w="732"/>
        <w:gridCol w:w="740"/>
        <w:gridCol w:w="732"/>
      </w:tblGrid>
      <w:tr w:rsidR="0032303F" w:rsidRPr="00035752" w:rsidTr="00861570">
        <w:trPr>
          <w:trHeight w:val="624"/>
        </w:trPr>
        <w:tc>
          <w:tcPr>
            <w:tcW w:w="13068" w:type="dxa"/>
            <w:gridSpan w:val="15"/>
            <w:tcBorders>
              <w:top w:val="nil"/>
              <w:left w:val="nil"/>
              <w:bottom w:val="single" w:sz="8" w:space="0" w:color="auto"/>
              <w:right w:val="nil"/>
            </w:tcBorders>
            <w:shd w:val="clear" w:color="auto" w:fill="auto"/>
            <w:vAlign w:val="bottom"/>
            <w:hideMark/>
          </w:tcPr>
          <w:p w:rsidR="0032303F" w:rsidRPr="00035752" w:rsidRDefault="00BC133B" w:rsidP="00861570">
            <w:pPr>
              <w:spacing w:after="0" w:line="480" w:lineRule="auto"/>
              <w:rPr>
                <w:rFonts w:eastAsia="Times New Roman" w:cs="Times New Roman"/>
                <w:color w:val="000000"/>
                <w:sz w:val="22"/>
              </w:rPr>
            </w:pPr>
            <w:r>
              <w:rPr>
                <w:rFonts w:eastAsia="Times New Roman" w:cs="Times New Roman"/>
                <w:b/>
                <w:bCs/>
                <w:color w:val="000000"/>
                <w:sz w:val="22"/>
              </w:rPr>
              <w:lastRenderedPageBreak/>
              <w:t xml:space="preserve">S4 </w:t>
            </w:r>
            <w:r w:rsidR="0032303F">
              <w:rPr>
                <w:rFonts w:eastAsia="Times New Roman" w:cs="Times New Roman"/>
                <w:b/>
                <w:bCs/>
                <w:color w:val="000000"/>
                <w:sz w:val="22"/>
              </w:rPr>
              <w:t xml:space="preserve">Table </w:t>
            </w:r>
            <w:r w:rsidR="00900408">
              <w:rPr>
                <w:rFonts w:eastAsia="Times New Roman" w:cs="Times New Roman"/>
                <w:b/>
                <w:bCs/>
                <w:color w:val="000000"/>
                <w:sz w:val="22"/>
              </w:rPr>
              <w:t>A</w:t>
            </w:r>
            <w:r w:rsidR="0032303F" w:rsidRPr="00035752">
              <w:rPr>
                <w:rFonts w:eastAsia="Times New Roman" w:cs="Times New Roman"/>
                <w:color w:val="000000"/>
                <w:sz w:val="22"/>
              </w:rPr>
              <w:t>. Government of Indonesia records for area harvested (ha) by year in 20 active logging concessions (</w:t>
            </w:r>
            <w:r w:rsidR="00D248E9" w:rsidRPr="00D248E9">
              <w:rPr>
                <w:rFonts w:eastAsia="Times New Roman" w:cs="Times New Roman"/>
                <w:color w:val="000000"/>
                <w:sz w:val="22"/>
              </w:rPr>
              <w:t>IUPHHK-HA</w:t>
            </w:r>
            <w:r w:rsidR="0032303F" w:rsidRPr="00035752">
              <w:rPr>
                <w:rFonts w:eastAsia="Times New Roman" w:cs="Times New Roman"/>
                <w:color w:val="000000"/>
                <w:sz w:val="22"/>
              </w:rPr>
              <w:t xml:space="preserve">) in </w:t>
            </w:r>
            <w:proofErr w:type="spellStart"/>
            <w:r w:rsidR="0032303F" w:rsidRPr="00035752">
              <w:rPr>
                <w:rFonts w:eastAsia="Times New Roman" w:cs="Times New Roman"/>
                <w:color w:val="000000"/>
                <w:sz w:val="22"/>
              </w:rPr>
              <w:t>Berau</w:t>
            </w:r>
            <w:proofErr w:type="spellEnd"/>
            <w:r w:rsidR="0032303F" w:rsidRPr="00035752">
              <w:rPr>
                <w:rFonts w:eastAsia="Times New Roman" w:cs="Times New Roman"/>
                <w:color w:val="000000"/>
                <w:sz w:val="22"/>
              </w:rPr>
              <w:t xml:space="preserve">.  Numbers in </w:t>
            </w:r>
            <w:r w:rsidR="0032303F" w:rsidRPr="00035752">
              <w:rPr>
                <w:rFonts w:eastAsia="Times New Roman" w:cs="Times New Roman"/>
                <w:i/>
                <w:iCs/>
                <w:color w:val="000000"/>
                <w:sz w:val="22"/>
              </w:rPr>
              <w:t xml:space="preserve">italics </w:t>
            </w:r>
            <w:r w:rsidR="0032303F" w:rsidRPr="00035752">
              <w:rPr>
                <w:rFonts w:eastAsia="Times New Roman" w:cs="Times New Roman"/>
                <w:color w:val="000000"/>
                <w:sz w:val="22"/>
              </w:rPr>
              <w:t>were concession-years with missing government records, so values were estimated based on total concession area and harvest rates of concession-years with data.</w:t>
            </w:r>
            <w:r w:rsidR="00D248E9">
              <w:rPr>
                <w:rFonts w:eastAsia="Times New Roman" w:cs="Times New Roman"/>
                <w:color w:val="000000"/>
                <w:sz w:val="22"/>
              </w:rPr>
              <w:t xml:space="preserve"> Names of concession owners have </w:t>
            </w:r>
            <w:proofErr w:type="gramStart"/>
            <w:r w:rsidR="00D248E9">
              <w:rPr>
                <w:rFonts w:eastAsia="Times New Roman" w:cs="Times New Roman"/>
                <w:color w:val="000000"/>
                <w:sz w:val="22"/>
              </w:rPr>
              <w:t>been  replaced</w:t>
            </w:r>
            <w:proofErr w:type="gramEnd"/>
            <w:r w:rsidR="00D248E9">
              <w:rPr>
                <w:rFonts w:eastAsia="Times New Roman" w:cs="Times New Roman"/>
                <w:color w:val="000000"/>
                <w:sz w:val="22"/>
              </w:rPr>
              <w:t xml:space="preserve"> with letter codes (A, B, C…).</w:t>
            </w:r>
          </w:p>
        </w:tc>
      </w:tr>
      <w:tr w:rsidR="0032303F" w:rsidRPr="00035752" w:rsidTr="00861570">
        <w:trPr>
          <w:trHeight w:val="300"/>
        </w:trPr>
        <w:tc>
          <w:tcPr>
            <w:tcW w:w="2610" w:type="dxa"/>
            <w:tcBorders>
              <w:top w:val="nil"/>
              <w:left w:val="nil"/>
              <w:bottom w:val="single" w:sz="8" w:space="0" w:color="auto"/>
              <w:right w:val="nil"/>
            </w:tcBorders>
            <w:shd w:val="clear" w:color="auto" w:fill="auto"/>
            <w:noWrap/>
            <w:vAlign w:val="bottom"/>
            <w:hideMark/>
          </w:tcPr>
          <w:p w:rsidR="0032303F" w:rsidRPr="00035752" w:rsidRDefault="0032303F" w:rsidP="00BC133B">
            <w:pPr>
              <w:spacing w:after="0" w:line="480" w:lineRule="auto"/>
              <w:rPr>
                <w:rFonts w:eastAsia="Times New Roman" w:cs="Times New Roman"/>
                <w:b/>
                <w:bCs/>
                <w:color w:val="000000"/>
                <w:sz w:val="22"/>
              </w:rPr>
            </w:pPr>
            <w:r w:rsidRPr="00035752">
              <w:rPr>
                <w:rFonts w:eastAsia="Times New Roman" w:cs="Times New Roman"/>
                <w:b/>
                <w:bCs/>
                <w:color w:val="000000"/>
                <w:sz w:val="22"/>
              </w:rPr>
              <w:t xml:space="preserve">Concession </w:t>
            </w:r>
          </w:p>
        </w:tc>
        <w:tc>
          <w:tcPr>
            <w:tcW w:w="897"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Area (ha)</w:t>
            </w:r>
          </w:p>
        </w:tc>
        <w:tc>
          <w:tcPr>
            <w:tcW w:w="739"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2000</w:t>
            </w:r>
          </w:p>
        </w:tc>
        <w:tc>
          <w:tcPr>
            <w:tcW w:w="739"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2001</w:t>
            </w:r>
          </w:p>
        </w:tc>
        <w:tc>
          <w:tcPr>
            <w:tcW w:w="739"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2002</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2003</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2004</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2005</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2006</w:t>
            </w:r>
          </w:p>
        </w:tc>
        <w:tc>
          <w:tcPr>
            <w:tcW w:w="740"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2007</w:t>
            </w:r>
          </w:p>
        </w:tc>
        <w:tc>
          <w:tcPr>
            <w:tcW w:w="740"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2008</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2009</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2010</w:t>
            </w:r>
          </w:p>
        </w:tc>
        <w:tc>
          <w:tcPr>
            <w:tcW w:w="740"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2011</w:t>
            </w:r>
          </w:p>
        </w:tc>
        <w:tc>
          <w:tcPr>
            <w:tcW w:w="732" w:type="dxa"/>
            <w:tcBorders>
              <w:top w:val="nil"/>
              <w:left w:val="nil"/>
              <w:bottom w:val="single" w:sz="8" w:space="0" w:color="auto"/>
              <w:right w:val="nil"/>
            </w:tcBorders>
            <w:shd w:val="clear" w:color="auto" w:fill="auto"/>
            <w:vAlign w:val="bottom"/>
            <w:hideMark/>
          </w:tcPr>
          <w:p w:rsidR="0032303F" w:rsidRPr="00035752" w:rsidRDefault="0032303F" w:rsidP="00861570">
            <w:pPr>
              <w:spacing w:after="0" w:line="480" w:lineRule="auto"/>
              <w:jc w:val="center"/>
              <w:rPr>
                <w:rFonts w:eastAsia="Times New Roman" w:cs="Times New Roman"/>
                <w:b/>
                <w:bCs/>
                <w:color w:val="000000"/>
                <w:sz w:val="22"/>
              </w:rPr>
            </w:pPr>
            <w:r w:rsidRPr="00035752">
              <w:rPr>
                <w:rFonts w:eastAsia="Times New Roman" w:cs="Times New Roman"/>
                <w:b/>
                <w:bCs/>
                <w:color w:val="000000"/>
                <w:sz w:val="22"/>
              </w:rPr>
              <w:t>2012</w:t>
            </w:r>
          </w:p>
        </w:tc>
      </w:tr>
      <w:tr w:rsidR="0032303F" w:rsidRPr="00035752" w:rsidTr="00861570">
        <w:trPr>
          <w:trHeight w:val="288"/>
        </w:trPr>
        <w:tc>
          <w:tcPr>
            <w:tcW w:w="2610" w:type="dxa"/>
            <w:tcBorders>
              <w:top w:val="nil"/>
              <w:left w:val="nil"/>
              <w:bottom w:val="nil"/>
              <w:right w:val="nil"/>
            </w:tcBorders>
            <w:shd w:val="clear" w:color="auto" w:fill="auto"/>
            <w:noWrap/>
            <w:vAlign w:val="bottom"/>
            <w:hideMark/>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A</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137,790</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2046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2046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2046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1102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1790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1056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1526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1308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1250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B</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98,611</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1465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1465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1465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809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1433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1603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1127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1765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2223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1465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C</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42,625</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611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219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1090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971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657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834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537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527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183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682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633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D</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47,763</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780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1114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222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431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164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258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182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688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861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1136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709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E</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48,438</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549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549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549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549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549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549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560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583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822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194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194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292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719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F</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46,080</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1200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1200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1900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1200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1200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1180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794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872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672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620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909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907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684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G</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25,630</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291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503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592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697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381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H</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27,684</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314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411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540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719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411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I</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58,482</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258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421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716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108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160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740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804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557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354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869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J</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103,178</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126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1532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958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1532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1047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1744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854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456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791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K</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49,070</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167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169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346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516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310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236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432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L</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37,667</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483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883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285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303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434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318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567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318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99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195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195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M</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65,934</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979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979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979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979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979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1572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489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1135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331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sz w:val="16"/>
                <w:szCs w:val="16"/>
              </w:rPr>
            </w:pPr>
            <w:r>
              <w:rPr>
                <w:rFonts w:eastAsia="Times New Roman" w:cs="Times New Roman"/>
                <w:sz w:val="16"/>
                <w:szCs w:val="16"/>
              </w:rPr>
              <w:t>N</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35,927</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534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O</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8,201</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299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478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122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color w:val="000000"/>
                <w:sz w:val="16"/>
                <w:szCs w:val="16"/>
              </w:rPr>
            </w:pPr>
            <w:r>
              <w:rPr>
                <w:rFonts w:eastAsia="Times New Roman" w:cs="Times New Roman"/>
                <w:color w:val="000000"/>
                <w:sz w:val="16"/>
                <w:szCs w:val="16"/>
              </w:rPr>
              <w:t>P</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46,162</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523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410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113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0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sz w:val="16"/>
                <w:szCs w:val="16"/>
              </w:rPr>
            </w:pPr>
            <w:r>
              <w:rPr>
                <w:rFonts w:eastAsia="Times New Roman" w:cs="Times New Roman"/>
                <w:sz w:val="16"/>
                <w:szCs w:val="16"/>
              </w:rPr>
              <w:lastRenderedPageBreak/>
              <w:t>Q</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10,844</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123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14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133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sz w:val="16"/>
                <w:szCs w:val="16"/>
              </w:rPr>
            </w:pPr>
            <w:r>
              <w:rPr>
                <w:rFonts w:eastAsia="Times New Roman" w:cs="Times New Roman"/>
                <w:sz w:val="16"/>
                <w:szCs w:val="16"/>
              </w:rPr>
              <w:t>R</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19,325</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219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642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405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515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48 </w:t>
            </w:r>
          </w:p>
        </w:tc>
      </w:tr>
      <w:tr w:rsidR="0032303F" w:rsidRPr="00035752" w:rsidTr="003476EF">
        <w:trPr>
          <w:trHeight w:val="288"/>
        </w:trPr>
        <w:tc>
          <w:tcPr>
            <w:tcW w:w="2610" w:type="dxa"/>
            <w:tcBorders>
              <w:top w:val="nil"/>
              <w:left w:val="nil"/>
              <w:bottom w:val="nil"/>
              <w:right w:val="nil"/>
            </w:tcBorders>
            <w:shd w:val="clear" w:color="auto" w:fill="auto"/>
            <w:noWrap/>
            <w:vAlign w:val="bottom"/>
          </w:tcPr>
          <w:p w:rsidR="0032303F" w:rsidRPr="00035752" w:rsidRDefault="00D248E9" w:rsidP="00861570">
            <w:pPr>
              <w:spacing w:after="0" w:line="480" w:lineRule="auto"/>
              <w:rPr>
                <w:rFonts w:eastAsia="Times New Roman" w:cs="Times New Roman"/>
                <w:sz w:val="16"/>
                <w:szCs w:val="16"/>
              </w:rPr>
            </w:pPr>
            <w:r>
              <w:rPr>
                <w:rFonts w:eastAsia="Times New Roman" w:cs="Times New Roman"/>
                <w:sz w:val="16"/>
                <w:szCs w:val="16"/>
              </w:rPr>
              <w:t>S</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13,367</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152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53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220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479 </w:t>
            </w:r>
          </w:p>
        </w:tc>
      </w:tr>
      <w:tr w:rsidR="0032303F" w:rsidRPr="00035752" w:rsidTr="003476EF">
        <w:trPr>
          <w:trHeight w:val="300"/>
        </w:trPr>
        <w:tc>
          <w:tcPr>
            <w:tcW w:w="2610" w:type="dxa"/>
            <w:tcBorders>
              <w:top w:val="nil"/>
              <w:left w:val="nil"/>
              <w:bottom w:val="single" w:sz="8" w:space="0" w:color="auto"/>
              <w:right w:val="nil"/>
            </w:tcBorders>
            <w:shd w:val="clear" w:color="auto" w:fill="auto"/>
            <w:noWrap/>
            <w:vAlign w:val="bottom"/>
          </w:tcPr>
          <w:p w:rsidR="0032303F" w:rsidRPr="00035752" w:rsidRDefault="00D248E9" w:rsidP="00861570">
            <w:pPr>
              <w:spacing w:after="0" w:line="480" w:lineRule="auto"/>
              <w:rPr>
                <w:rFonts w:eastAsia="Times New Roman" w:cs="Times New Roman"/>
                <w:sz w:val="16"/>
                <w:szCs w:val="16"/>
              </w:rPr>
            </w:pPr>
            <w:r>
              <w:rPr>
                <w:rFonts w:eastAsia="Times New Roman" w:cs="Times New Roman"/>
                <w:sz w:val="16"/>
                <w:szCs w:val="16"/>
              </w:rPr>
              <w:t>T</w:t>
            </w:r>
          </w:p>
        </w:tc>
        <w:tc>
          <w:tcPr>
            <w:tcW w:w="897"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sz w:val="18"/>
                <w:szCs w:val="18"/>
              </w:rPr>
            </w:pPr>
            <w:r w:rsidRPr="00035752">
              <w:rPr>
                <w:rFonts w:eastAsia="Times New Roman" w:cs="Times New Roman"/>
                <w:sz w:val="18"/>
                <w:szCs w:val="18"/>
              </w:rPr>
              <w:t>8,760</w:t>
            </w:r>
          </w:p>
        </w:tc>
        <w:tc>
          <w:tcPr>
            <w:tcW w:w="739"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9"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9"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40"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40"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i/>
                <w:iCs/>
                <w:color w:val="000000"/>
                <w:sz w:val="18"/>
                <w:szCs w:val="18"/>
              </w:rPr>
            </w:pPr>
            <w:r w:rsidRPr="00035752">
              <w:rPr>
                <w:rFonts w:eastAsia="Times New Roman" w:cs="Times New Roman"/>
                <w:i/>
                <w:iCs/>
                <w:color w:val="000000"/>
                <w:sz w:val="18"/>
                <w:szCs w:val="18"/>
              </w:rPr>
              <w:t xml:space="preserve">99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204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201 </w:t>
            </w:r>
          </w:p>
        </w:tc>
        <w:tc>
          <w:tcPr>
            <w:tcW w:w="740"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249 </w:t>
            </w:r>
          </w:p>
        </w:tc>
        <w:tc>
          <w:tcPr>
            <w:tcW w:w="732" w:type="dxa"/>
            <w:tcBorders>
              <w:top w:val="nil"/>
              <w:left w:val="nil"/>
              <w:bottom w:val="single" w:sz="8" w:space="0" w:color="auto"/>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color w:val="000000"/>
                <w:sz w:val="18"/>
                <w:szCs w:val="18"/>
              </w:rPr>
            </w:pPr>
            <w:r w:rsidRPr="00035752">
              <w:rPr>
                <w:rFonts w:eastAsia="Times New Roman" w:cs="Times New Roman"/>
                <w:color w:val="000000"/>
                <w:sz w:val="18"/>
                <w:szCs w:val="18"/>
              </w:rPr>
              <w:t xml:space="preserve">97 </w:t>
            </w:r>
          </w:p>
        </w:tc>
      </w:tr>
      <w:tr w:rsidR="0032303F" w:rsidRPr="00035752" w:rsidTr="00861570">
        <w:trPr>
          <w:trHeight w:val="288"/>
        </w:trPr>
        <w:tc>
          <w:tcPr>
            <w:tcW w:w="2610" w:type="dxa"/>
            <w:tcBorders>
              <w:top w:val="nil"/>
              <w:left w:val="nil"/>
              <w:bottom w:val="nil"/>
              <w:right w:val="nil"/>
            </w:tcBorders>
            <w:shd w:val="clear" w:color="auto" w:fill="auto"/>
            <w:noWrap/>
            <w:vAlign w:val="bottom"/>
            <w:hideMark/>
          </w:tcPr>
          <w:p w:rsidR="0032303F" w:rsidRPr="00035752" w:rsidRDefault="0032303F" w:rsidP="00900408">
            <w:pPr>
              <w:spacing w:after="0" w:line="480" w:lineRule="auto"/>
              <w:rPr>
                <w:rFonts w:eastAsia="Times New Roman" w:cs="Times New Roman"/>
                <w:b/>
                <w:bCs/>
                <w:i/>
                <w:iCs/>
                <w:color w:val="000000"/>
                <w:sz w:val="18"/>
                <w:szCs w:val="18"/>
              </w:rPr>
            </w:pPr>
            <w:r w:rsidRPr="00035752">
              <w:rPr>
                <w:rFonts w:eastAsia="Times New Roman" w:cs="Times New Roman"/>
                <w:b/>
                <w:bCs/>
                <w:i/>
                <w:iCs/>
                <w:color w:val="000000"/>
                <w:sz w:val="18"/>
                <w:szCs w:val="18"/>
              </w:rPr>
              <w:t>Total area harvested (ha)</w:t>
            </w:r>
          </w:p>
        </w:tc>
        <w:tc>
          <w:tcPr>
            <w:tcW w:w="897"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931,538</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10,065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10,889 </w:t>
            </w:r>
          </w:p>
        </w:tc>
        <w:tc>
          <w:tcPr>
            <w:tcW w:w="739"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12,659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6,699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6,070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6,619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7,378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11,484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10,399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9,569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9,622 </w:t>
            </w:r>
          </w:p>
        </w:tc>
        <w:tc>
          <w:tcPr>
            <w:tcW w:w="740"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11,158 </w:t>
            </w:r>
          </w:p>
        </w:tc>
        <w:tc>
          <w:tcPr>
            <w:tcW w:w="732" w:type="dxa"/>
            <w:tcBorders>
              <w:top w:val="nil"/>
              <w:left w:val="nil"/>
              <w:bottom w:val="nil"/>
              <w:right w:val="nil"/>
            </w:tcBorders>
            <w:shd w:val="clear" w:color="auto" w:fill="auto"/>
            <w:noWrap/>
            <w:vAlign w:val="bottom"/>
            <w:hideMark/>
          </w:tcPr>
          <w:p w:rsidR="0032303F" w:rsidRPr="00035752" w:rsidRDefault="0032303F" w:rsidP="00861570">
            <w:pPr>
              <w:spacing w:after="0" w:line="480" w:lineRule="auto"/>
              <w:jc w:val="right"/>
              <w:rPr>
                <w:rFonts w:eastAsia="Times New Roman" w:cs="Times New Roman"/>
                <w:b/>
                <w:bCs/>
                <w:i/>
                <w:iCs/>
                <w:color w:val="000000"/>
                <w:sz w:val="18"/>
                <w:szCs w:val="18"/>
              </w:rPr>
            </w:pPr>
            <w:r w:rsidRPr="00035752">
              <w:rPr>
                <w:rFonts w:eastAsia="Times New Roman" w:cs="Times New Roman"/>
                <w:b/>
                <w:bCs/>
                <w:i/>
                <w:iCs/>
                <w:color w:val="000000"/>
                <w:sz w:val="18"/>
                <w:szCs w:val="18"/>
              </w:rPr>
              <w:t xml:space="preserve">      8,864 </w:t>
            </w:r>
          </w:p>
        </w:tc>
      </w:tr>
    </w:tbl>
    <w:p w:rsidR="0032303F" w:rsidRPr="00035752" w:rsidRDefault="0032303F" w:rsidP="0032303F">
      <w:pPr>
        <w:spacing w:line="480" w:lineRule="auto"/>
        <w:rPr>
          <w:rFonts w:eastAsiaTheme="minorHAnsi" w:cs="Times New Roman"/>
          <w:b/>
          <w:szCs w:val="24"/>
        </w:rPr>
      </w:pPr>
    </w:p>
    <w:p w:rsidR="0032303F" w:rsidRDefault="0032303F">
      <w:pPr>
        <w:rPr>
          <w:rFonts w:eastAsiaTheme="majorEastAsia" w:cstheme="majorBidi"/>
          <w:b/>
          <w:bCs/>
          <w:sz w:val="36"/>
          <w:szCs w:val="28"/>
        </w:rPr>
      </w:pPr>
    </w:p>
    <w:p w:rsidR="0080250E" w:rsidRDefault="0080250E">
      <w:pPr>
        <w:rPr>
          <w:rFonts w:eastAsiaTheme="majorEastAsia" w:cstheme="majorBidi"/>
          <w:b/>
          <w:bCs/>
          <w:sz w:val="36"/>
          <w:szCs w:val="28"/>
        </w:rPr>
      </w:pPr>
      <w:r>
        <w:rPr>
          <w:rFonts w:eastAsiaTheme="majorEastAsia" w:cstheme="majorBidi"/>
          <w:b/>
          <w:bCs/>
          <w:sz w:val="36"/>
          <w:szCs w:val="28"/>
        </w:rPr>
        <w:br w:type="page"/>
      </w:r>
    </w:p>
    <w:p w:rsidR="0080250E" w:rsidRPr="004F408F" w:rsidRDefault="0080250E" w:rsidP="0080250E">
      <w:pPr>
        <w:pStyle w:val="Heading1"/>
      </w:pPr>
      <w:r w:rsidRPr="004F408F">
        <w:lastRenderedPageBreak/>
        <w:t>References</w:t>
      </w:r>
    </w:p>
    <w:p w:rsidR="000D1D97" w:rsidRDefault="000D1D97" w:rsidP="00006B66">
      <w:pPr>
        <w:rPr>
          <w:rFonts w:eastAsiaTheme="majorEastAsia" w:cstheme="majorBidi"/>
          <w:b/>
          <w:bCs/>
          <w:sz w:val="36"/>
          <w:szCs w:val="28"/>
        </w:rPr>
      </w:pPr>
    </w:p>
    <w:p w:rsidR="0080250E" w:rsidRPr="0080250E" w:rsidRDefault="0080250E">
      <w:pPr>
        <w:pStyle w:val="NormalWeb"/>
        <w:ind w:left="640" w:hanging="640"/>
        <w:divId w:val="218785601"/>
        <w:rPr>
          <w:rFonts w:eastAsiaTheme="minorEastAsia"/>
          <w:noProof/>
        </w:rPr>
      </w:pPr>
      <w:r>
        <w:rPr>
          <w:rFonts w:eastAsiaTheme="majorEastAsia"/>
        </w:rPr>
        <w:fldChar w:fldCharType="begin" w:fldLock="1"/>
      </w:r>
      <w:r>
        <w:rPr>
          <w:rFonts w:eastAsiaTheme="majorEastAsia"/>
        </w:rPr>
        <w:instrText xml:space="preserve">ADDIN Mendeley Bibliography CSL_BIBLIOGRAPHY </w:instrText>
      </w:r>
      <w:r>
        <w:rPr>
          <w:rFonts w:eastAsiaTheme="majorEastAsia"/>
        </w:rPr>
        <w:fldChar w:fldCharType="separate"/>
      </w:r>
      <w:r w:rsidRPr="0080250E">
        <w:rPr>
          <w:noProof/>
        </w:rPr>
        <w:t xml:space="preserve">1. </w:t>
      </w:r>
      <w:r w:rsidRPr="0080250E">
        <w:rPr>
          <w:noProof/>
        </w:rPr>
        <w:tab/>
        <w:t xml:space="preserve">Asner GP, Knapp DE, Broadbent EN, Oliveira PJC, Keller M, Silva JN. Selective logging in the Brazilian Amazon. Science (80- ). 2005;310(5747):480–2. </w:t>
      </w:r>
    </w:p>
    <w:p w:rsidR="0080250E" w:rsidRPr="0080250E" w:rsidRDefault="0080250E">
      <w:pPr>
        <w:pStyle w:val="NormalWeb"/>
        <w:ind w:left="640" w:hanging="640"/>
        <w:divId w:val="218785601"/>
        <w:rPr>
          <w:noProof/>
        </w:rPr>
      </w:pPr>
      <w:r w:rsidRPr="0080250E">
        <w:rPr>
          <w:noProof/>
        </w:rPr>
        <w:t xml:space="preserve">2. </w:t>
      </w:r>
      <w:r w:rsidRPr="0080250E">
        <w:rPr>
          <w:noProof/>
        </w:rPr>
        <w:tab/>
        <w:t xml:space="preserve">Margono B, Potapov P V., Turubanova S, Stolle F, Hansen M. Primary forest cover loss in Indonesia over 2000–2012. Nat Clim Chang. 2014;4:730–5. </w:t>
      </w:r>
    </w:p>
    <w:p w:rsidR="0080250E" w:rsidRPr="0080250E" w:rsidRDefault="0080250E">
      <w:pPr>
        <w:pStyle w:val="NormalWeb"/>
        <w:ind w:left="640" w:hanging="640"/>
        <w:divId w:val="218785601"/>
        <w:rPr>
          <w:noProof/>
        </w:rPr>
      </w:pPr>
      <w:r w:rsidRPr="0080250E">
        <w:rPr>
          <w:noProof/>
        </w:rPr>
        <w:t xml:space="preserve">3. </w:t>
      </w:r>
      <w:r w:rsidRPr="0080250E">
        <w:rPr>
          <w:noProof/>
        </w:rPr>
        <w:tab/>
        <w:t xml:space="preserve">Bryan JE, Shearman PL, Asner GP, Knapp DE, Aoro G, Lokes B. Extreme Differences in Forest Degradation in Borneo: Comparing Practices in Sarawak, Sabah, and Brunei. PLoS One. 2013;8(7). </w:t>
      </w:r>
    </w:p>
    <w:p w:rsidR="0080250E" w:rsidRPr="0080250E" w:rsidRDefault="0080250E">
      <w:pPr>
        <w:pStyle w:val="NormalWeb"/>
        <w:ind w:left="640" w:hanging="640"/>
        <w:divId w:val="218785601"/>
        <w:rPr>
          <w:noProof/>
        </w:rPr>
      </w:pPr>
      <w:r w:rsidRPr="0080250E">
        <w:rPr>
          <w:noProof/>
        </w:rPr>
        <w:t xml:space="preserve">4. </w:t>
      </w:r>
      <w:r w:rsidRPr="0080250E">
        <w:rPr>
          <w:noProof/>
        </w:rPr>
        <w:tab/>
        <w:t xml:space="preserve">Laporte NT, Stabach J a, Grosch R, Lin TS, Goetz SJ. Expansion of industrial logging in Central Africa. Science. 2007;316(5830):1451. </w:t>
      </w:r>
    </w:p>
    <w:p w:rsidR="0080250E" w:rsidRPr="0080250E" w:rsidRDefault="0080250E">
      <w:pPr>
        <w:pStyle w:val="NormalWeb"/>
        <w:ind w:left="640" w:hanging="640"/>
        <w:divId w:val="218785601"/>
        <w:rPr>
          <w:noProof/>
        </w:rPr>
      </w:pPr>
      <w:r w:rsidRPr="0080250E">
        <w:rPr>
          <w:noProof/>
        </w:rPr>
        <w:t xml:space="preserve">5. </w:t>
      </w:r>
      <w:r w:rsidRPr="0080250E">
        <w:rPr>
          <w:noProof/>
        </w:rPr>
        <w:tab/>
        <w:t xml:space="preserve">Griscom B, Ellis P, Putz FE. Carbon emissions performance of commercial logging in East Kalimantan, Indonesia. Glob Chang Biol. 2014;20(3):923–37. </w:t>
      </w:r>
    </w:p>
    <w:p w:rsidR="0080250E" w:rsidRPr="0080250E" w:rsidRDefault="0080250E">
      <w:pPr>
        <w:pStyle w:val="NormalWeb"/>
        <w:ind w:left="640" w:hanging="640"/>
        <w:divId w:val="218785601"/>
        <w:rPr>
          <w:noProof/>
        </w:rPr>
      </w:pPr>
      <w:r w:rsidRPr="0080250E">
        <w:rPr>
          <w:noProof/>
        </w:rPr>
        <w:t xml:space="preserve">6. </w:t>
      </w:r>
      <w:r w:rsidRPr="0080250E">
        <w:rPr>
          <w:noProof/>
        </w:rPr>
        <w:tab/>
        <w:t>Obidzinski K, Barr C. The effects decentralisation on forests and forest industries in Berau district, East Kalimantan. Decentralisation of forest administration in Indonesia: Implications for forest sustainability, community livelihoods, and economic development [Internet]. Jakarta, Indonesia; 2003. Available from: http://www.cifor.org/publications/pdf_files/Books/Decentralisation-Case9.pdf</w:t>
      </w:r>
    </w:p>
    <w:p w:rsidR="0080250E" w:rsidRPr="0080250E" w:rsidRDefault="0080250E">
      <w:pPr>
        <w:pStyle w:val="NormalWeb"/>
        <w:ind w:left="640" w:hanging="640"/>
        <w:divId w:val="218785601"/>
        <w:rPr>
          <w:noProof/>
        </w:rPr>
      </w:pPr>
      <w:r w:rsidRPr="0080250E">
        <w:rPr>
          <w:noProof/>
        </w:rPr>
        <w:t xml:space="preserve">7. </w:t>
      </w:r>
      <w:r w:rsidRPr="0080250E">
        <w:rPr>
          <w:noProof/>
        </w:rPr>
        <w:tab/>
        <w:t xml:space="preserve">Obidzinski K, Andrianto A. Illegal Forestry Activities in Berau and East Kutai Districts, East Kalimantan: Impacts on Economy, Environment, and Society. Forest Governance Program, Center for International Forestry Research (CIFOR). Bogor Barat , Indonesia; 2005. </w:t>
      </w:r>
    </w:p>
    <w:p w:rsidR="0080250E" w:rsidRPr="00006B66" w:rsidRDefault="0080250E" w:rsidP="0080250E">
      <w:pPr>
        <w:rPr>
          <w:rFonts w:eastAsiaTheme="majorEastAsia"/>
        </w:rPr>
      </w:pPr>
      <w:r>
        <w:rPr>
          <w:rFonts w:eastAsiaTheme="majorEastAsia"/>
        </w:rPr>
        <w:fldChar w:fldCharType="end"/>
      </w:r>
    </w:p>
    <w:sectPr w:rsidR="0080250E" w:rsidRPr="00006B66" w:rsidSect="00006B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8E" w:rsidRDefault="00624C8E" w:rsidP="00CF5C44">
      <w:pPr>
        <w:spacing w:after="0" w:line="240" w:lineRule="auto"/>
      </w:pPr>
      <w:r>
        <w:separator/>
      </w:r>
    </w:p>
  </w:endnote>
  <w:endnote w:type="continuationSeparator" w:id="0">
    <w:p w:rsidR="00624C8E" w:rsidRDefault="00624C8E" w:rsidP="00C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41413"/>
      <w:docPartObj>
        <w:docPartGallery w:val="Page Numbers (Bottom of Page)"/>
        <w:docPartUnique/>
      </w:docPartObj>
    </w:sdtPr>
    <w:sdtEndPr>
      <w:rPr>
        <w:noProof/>
      </w:rPr>
    </w:sdtEndPr>
    <w:sdtContent>
      <w:p w:rsidR="00861570" w:rsidRDefault="00861570">
        <w:pPr>
          <w:pStyle w:val="Footer"/>
          <w:jc w:val="right"/>
        </w:pPr>
        <w:r>
          <w:fldChar w:fldCharType="begin"/>
        </w:r>
        <w:r>
          <w:instrText xml:space="preserve"> PAGE   \* MERGEFORMAT </w:instrText>
        </w:r>
        <w:r>
          <w:fldChar w:fldCharType="separate"/>
        </w:r>
        <w:r w:rsidR="00515C67">
          <w:rPr>
            <w:noProof/>
          </w:rPr>
          <w:t>1</w:t>
        </w:r>
        <w:r>
          <w:rPr>
            <w:noProof/>
          </w:rPr>
          <w:fldChar w:fldCharType="end"/>
        </w:r>
      </w:p>
    </w:sdtContent>
  </w:sdt>
  <w:p w:rsidR="00861570" w:rsidRDefault="0086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8E" w:rsidRDefault="00624C8E" w:rsidP="00CF5C44">
      <w:pPr>
        <w:spacing w:after="0" w:line="240" w:lineRule="auto"/>
      </w:pPr>
      <w:r>
        <w:separator/>
      </w:r>
    </w:p>
  </w:footnote>
  <w:footnote w:type="continuationSeparator" w:id="0">
    <w:p w:rsidR="00624C8E" w:rsidRDefault="00624C8E" w:rsidP="00CF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A2"/>
    <w:multiLevelType w:val="hybridMultilevel"/>
    <w:tmpl w:val="42A0612E"/>
    <w:lvl w:ilvl="0" w:tplc="35E282BA">
      <w:start w:val="1"/>
      <w:numFmt w:val="decimal"/>
      <w:lvlText w:val="(S%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4A7"/>
    <w:multiLevelType w:val="hybridMultilevel"/>
    <w:tmpl w:val="D1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2847"/>
    <w:multiLevelType w:val="hybridMultilevel"/>
    <w:tmpl w:val="D28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05C43"/>
    <w:multiLevelType w:val="hybridMultilevel"/>
    <w:tmpl w:val="A51A8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C4849"/>
    <w:multiLevelType w:val="hybridMultilevel"/>
    <w:tmpl w:val="D13C7B28"/>
    <w:lvl w:ilvl="0" w:tplc="2B6ADE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F3"/>
    <w:rsid w:val="0000096C"/>
    <w:rsid w:val="00006B66"/>
    <w:rsid w:val="00035752"/>
    <w:rsid w:val="000504C3"/>
    <w:rsid w:val="000543A7"/>
    <w:rsid w:val="000B134B"/>
    <w:rsid w:val="000D1D97"/>
    <w:rsid w:val="00132A17"/>
    <w:rsid w:val="0018128A"/>
    <w:rsid w:val="001902CA"/>
    <w:rsid w:val="001A0CAC"/>
    <w:rsid w:val="00203A29"/>
    <w:rsid w:val="00261C92"/>
    <w:rsid w:val="002F652D"/>
    <w:rsid w:val="00311073"/>
    <w:rsid w:val="0032303F"/>
    <w:rsid w:val="00347464"/>
    <w:rsid w:val="003476EF"/>
    <w:rsid w:val="0038588D"/>
    <w:rsid w:val="003B6759"/>
    <w:rsid w:val="003E4086"/>
    <w:rsid w:val="00400566"/>
    <w:rsid w:val="00456FBE"/>
    <w:rsid w:val="004660DD"/>
    <w:rsid w:val="00477398"/>
    <w:rsid w:val="004A10D9"/>
    <w:rsid w:val="004D6F1E"/>
    <w:rsid w:val="004E5E45"/>
    <w:rsid w:val="004F40C6"/>
    <w:rsid w:val="00501887"/>
    <w:rsid w:val="00503D1E"/>
    <w:rsid w:val="0051177A"/>
    <w:rsid w:val="00515C67"/>
    <w:rsid w:val="00571F3F"/>
    <w:rsid w:val="005B1F4B"/>
    <w:rsid w:val="005B5C84"/>
    <w:rsid w:val="005C0D6E"/>
    <w:rsid w:val="005D1D7D"/>
    <w:rsid w:val="005D6E9C"/>
    <w:rsid w:val="00615EB8"/>
    <w:rsid w:val="00624C8E"/>
    <w:rsid w:val="0062654C"/>
    <w:rsid w:val="00670C52"/>
    <w:rsid w:val="006A1BEA"/>
    <w:rsid w:val="006C0E5A"/>
    <w:rsid w:val="00705070"/>
    <w:rsid w:val="0072027E"/>
    <w:rsid w:val="00736538"/>
    <w:rsid w:val="0078341B"/>
    <w:rsid w:val="007A5A86"/>
    <w:rsid w:val="007B2078"/>
    <w:rsid w:val="007B5CF3"/>
    <w:rsid w:val="007C35D9"/>
    <w:rsid w:val="007E63D0"/>
    <w:rsid w:val="0080250E"/>
    <w:rsid w:val="00861570"/>
    <w:rsid w:val="00863844"/>
    <w:rsid w:val="00895DC0"/>
    <w:rsid w:val="008D509E"/>
    <w:rsid w:val="008E4D77"/>
    <w:rsid w:val="00900408"/>
    <w:rsid w:val="009657E4"/>
    <w:rsid w:val="00996722"/>
    <w:rsid w:val="009A2FA6"/>
    <w:rsid w:val="009A739C"/>
    <w:rsid w:val="009C6C93"/>
    <w:rsid w:val="009D29D0"/>
    <w:rsid w:val="00A4780D"/>
    <w:rsid w:val="00A611A4"/>
    <w:rsid w:val="00A77B00"/>
    <w:rsid w:val="00A95599"/>
    <w:rsid w:val="00A96673"/>
    <w:rsid w:val="00AC2D21"/>
    <w:rsid w:val="00B1241B"/>
    <w:rsid w:val="00B15151"/>
    <w:rsid w:val="00B804C0"/>
    <w:rsid w:val="00BC133B"/>
    <w:rsid w:val="00BC58C3"/>
    <w:rsid w:val="00C46952"/>
    <w:rsid w:val="00C4749B"/>
    <w:rsid w:val="00C82B02"/>
    <w:rsid w:val="00CA3418"/>
    <w:rsid w:val="00CB5863"/>
    <w:rsid w:val="00CC29AA"/>
    <w:rsid w:val="00CD5504"/>
    <w:rsid w:val="00CE28C1"/>
    <w:rsid w:val="00CF5C44"/>
    <w:rsid w:val="00D1259D"/>
    <w:rsid w:val="00D177BE"/>
    <w:rsid w:val="00D248E9"/>
    <w:rsid w:val="00D31A35"/>
    <w:rsid w:val="00D370CB"/>
    <w:rsid w:val="00D81809"/>
    <w:rsid w:val="00D82F5D"/>
    <w:rsid w:val="00DC0914"/>
    <w:rsid w:val="00DD1C66"/>
    <w:rsid w:val="00DE1EAE"/>
    <w:rsid w:val="00DE4866"/>
    <w:rsid w:val="00DF75A4"/>
    <w:rsid w:val="00E537DE"/>
    <w:rsid w:val="00E84DCB"/>
    <w:rsid w:val="00E97357"/>
    <w:rsid w:val="00F15303"/>
    <w:rsid w:val="00F5588D"/>
    <w:rsid w:val="00F66950"/>
    <w:rsid w:val="00FC795C"/>
    <w:rsid w:val="00FF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F3"/>
    <w:rPr>
      <w:rFonts w:ascii="Times New Roman" w:eastAsiaTheme="minorEastAsia" w:hAnsi="Times New Roman"/>
      <w:sz w:val="24"/>
    </w:rPr>
  </w:style>
  <w:style w:type="paragraph" w:styleId="Heading1">
    <w:name w:val="heading 1"/>
    <w:basedOn w:val="Normal"/>
    <w:next w:val="Normal"/>
    <w:link w:val="Heading1Char"/>
    <w:uiPriority w:val="9"/>
    <w:qFormat/>
    <w:rsid w:val="00F66950"/>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C0914"/>
    <w:pPr>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CF3"/>
    <w:rPr>
      <w:sz w:val="16"/>
      <w:szCs w:val="16"/>
    </w:rPr>
  </w:style>
  <w:style w:type="paragraph" w:styleId="CommentText">
    <w:name w:val="annotation text"/>
    <w:basedOn w:val="Normal"/>
    <w:link w:val="CommentTextChar"/>
    <w:uiPriority w:val="99"/>
    <w:unhideWhenUsed/>
    <w:rsid w:val="007B5CF3"/>
    <w:pPr>
      <w:spacing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B5CF3"/>
    <w:rPr>
      <w:sz w:val="20"/>
      <w:szCs w:val="20"/>
    </w:rPr>
  </w:style>
  <w:style w:type="paragraph" w:styleId="Caption">
    <w:name w:val="caption"/>
    <w:basedOn w:val="Normal"/>
    <w:next w:val="Normal"/>
    <w:uiPriority w:val="35"/>
    <w:unhideWhenUsed/>
    <w:qFormat/>
    <w:rsid w:val="007B5CF3"/>
    <w:pPr>
      <w:spacing w:after="240" w:line="240" w:lineRule="auto"/>
    </w:pPr>
    <w:rPr>
      <w:rFonts w:eastAsiaTheme="minorHAnsi"/>
      <w:bCs/>
      <w:szCs w:val="18"/>
    </w:rPr>
  </w:style>
  <w:style w:type="paragraph" w:styleId="NormalWeb">
    <w:name w:val="Normal (Web)"/>
    <w:basedOn w:val="Normal"/>
    <w:uiPriority w:val="99"/>
    <w:unhideWhenUsed/>
    <w:rsid w:val="007B5CF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B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F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DC0914"/>
    <w:rPr>
      <w:rFonts w:ascii="Times New Roman" w:eastAsiaTheme="majorEastAsia" w:hAnsi="Times New Roman" w:cstheme="majorBidi"/>
      <w:b/>
      <w:bCs/>
      <w:sz w:val="24"/>
      <w:szCs w:val="26"/>
    </w:rPr>
  </w:style>
  <w:style w:type="paragraph" w:styleId="ListParagraph">
    <w:name w:val="List Paragraph"/>
    <w:basedOn w:val="Normal"/>
    <w:uiPriority w:val="34"/>
    <w:qFormat/>
    <w:rsid w:val="00D82F5D"/>
    <w:pPr>
      <w:ind w:left="720"/>
      <w:contextualSpacing/>
    </w:pPr>
  </w:style>
  <w:style w:type="paragraph" w:styleId="Header">
    <w:name w:val="header"/>
    <w:basedOn w:val="Normal"/>
    <w:link w:val="HeaderChar"/>
    <w:uiPriority w:val="99"/>
    <w:unhideWhenUsed/>
    <w:rsid w:val="00CF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44"/>
    <w:rPr>
      <w:rFonts w:ascii="Times New Roman" w:eastAsiaTheme="minorEastAsia" w:hAnsi="Times New Roman"/>
      <w:sz w:val="24"/>
    </w:rPr>
  </w:style>
  <w:style w:type="paragraph" w:styleId="Footer">
    <w:name w:val="footer"/>
    <w:basedOn w:val="Normal"/>
    <w:link w:val="FooterChar"/>
    <w:uiPriority w:val="99"/>
    <w:unhideWhenUsed/>
    <w:rsid w:val="00CF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44"/>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5C0D6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5C0D6E"/>
    <w:rPr>
      <w:rFonts w:ascii="Times New Roman" w:eastAsiaTheme="minorEastAsia" w:hAnsi="Times New Roman"/>
      <w:b/>
      <w:bCs/>
      <w:sz w:val="20"/>
      <w:szCs w:val="20"/>
    </w:rPr>
  </w:style>
  <w:style w:type="character" w:customStyle="1" w:styleId="Heading1Char">
    <w:name w:val="Heading 1 Char"/>
    <w:basedOn w:val="DefaultParagraphFont"/>
    <w:link w:val="Heading1"/>
    <w:uiPriority w:val="9"/>
    <w:rsid w:val="00F66950"/>
    <w:rPr>
      <w:rFonts w:ascii="Times New Roman" w:eastAsiaTheme="majorEastAsia" w:hAnsi="Times New Roman"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F3"/>
    <w:rPr>
      <w:rFonts w:ascii="Times New Roman" w:eastAsiaTheme="minorEastAsia" w:hAnsi="Times New Roman"/>
      <w:sz w:val="24"/>
    </w:rPr>
  </w:style>
  <w:style w:type="paragraph" w:styleId="Heading1">
    <w:name w:val="heading 1"/>
    <w:basedOn w:val="Normal"/>
    <w:next w:val="Normal"/>
    <w:link w:val="Heading1Char"/>
    <w:uiPriority w:val="9"/>
    <w:qFormat/>
    <w:rsid w:val="00F66950"/>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C0914"/>
    <w:pPr>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CF3"/>
    <w:rPr>
      <w:sz w:val="16"/>
      <w:szCs w:val="16"/>
    </w:rPr>
  </w:style>
  <w:style w:type="paragraph" w:styleId="CommentText">
    <w:name w:val="annotation text"/>
    <w:basedOn w:val="Normal"/>
    <w:link w:val="CommentTextChar"/>
    <w:uiPriority w:val="99"/>
    <w:unhideWhenUsed/>
    <w:rsid w:val="007B5CF3"/>
    <w:pPr>
      <w:spacing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B5CF3"/>
    <w:rPr>
      <w:sz w:val="20"/>
      <w:szCs w:val="20"/>
    </w:rPr>
  </w:style>
  <w:style w:type="paragraph" w:styleId="Caption">
    <w:name w:val="caption"/>
    <w:basedOn w:val="Normal"/>
    <w:next w:val="Normal"/>
    <w:uiPriority w:val="35"/>
    <w:unhideWhenUsed/>
    <w:qFormat/>
    <w:rsid w:val="007B5CF3"/>
    <w:pPr>
      <w:spacing w:after="240" w:line="240" w:lineRule="auto"/>
    </w:pPr>
    <w:rPr>
      <w:rFonts w:eastAsiaTheme="minorHAnsi"/>
      <w:bCs/>
      <w:szCs w:val="18"/>
    </w:rPr>
  </w:style>
  <w:style w:type="paragraph" w:styleId="NormalWeb">
    <w:name w:val="Normal (Web)"/>
    <w:basedOn w:val="Normal"/>
    <w:uiPriority w:val="99"/>
    <w:unhideWhenUsed/>
    <w:rsid w:val="007B5CF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B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F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DC0914"/>
    <w:rPr>
      <w:rFonts w:ascii="Times New Roman" w:eastAsiaTheme="majorEastAsia" w:hAnsi="Times New Roman" w:cstheme="majorBidi"/>
      <w:b/>
      <w:bCs/>
      <w:sz w:val="24"/>
      <w:szCs w:val="26"/>
    </w:rPr>
  </w:style>
  <w:style w:type="paragraph" w:styleId="ListParagraph">
    <w:name w:val="List Paragraph"/>
    <w:basedOn w:val="Normal"/>
    <w:uiPriority w:val="34"/>
    <w:qFormat/>
    <w:rsid w:val="00D82F5D"/>
    <w:pPr>
      <w:ind w:left="720"/>
      <w:contextualSpacing/>
    </w:pPr>
  </w:style>
  <w:style w:type="paragraph" w:styleId="Header">
    <w:name w:val="header"/>
    <w:basedOn w:val="Normal"/>
    <w:link w:val="HeaderChar"/>
    <w:uiPriority w:val="99"/>
    <w:unhideWhenUsed/>
    <w:rsid w:val="00CF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44"/>
    <w:rPr>
      <w:rFonts w:ascii="Times New Roman" w:eastAsiaTheme="minorEastAsia" w:hAnsi="Times New Roman"/>
      <w:sz w:val="24"/>
    </w:rPr>
  </w:style>
  <w:style w:type="paragraph" w:styleId="Footer">
    <w:name w:val="footer"/>
    <w:basedOn w:val="Normal"/>
    <w:link w:val="FooterChar"/>
    <w:uiPriority w:val="99"/>
    <w:unhideWhenUsed/>
    <w:rsid w:val="00CF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44"/>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5C0D6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5C0D6E"/>
    <w:rPr>
      <w:rFonts w:ascii="Times New Roman" w:eastAsiaTheme="minorEastAsia" w:hAnsi="Times New Roman"/>
      <w:b/>
      <w:bCs/>
      <w:sz w:val="20"/>
      <w:szCs w:val="20"/>
    </w:rPr>
  </w:style>
  <w:style w:type="character" w:customStyle="1" w:styleId="Heading1Char">
    <w:name w:val="Heading 1 Char"/>
    <w:basedOn w:val="DefaultParagraphFont"/>
    <w:link w:val="Heading1"/>
    <w:uiPriority w:val="9"/>
    <w:rsid w:val="00F66950"/>
    <w:rPr>
      <w:rFonts w:ascii="Times New Roman" w:eastAsiaTheme="majorEastAsia" w:hAnsi="Times New Roman"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550">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24144715">
      <w:bodyDiv w:val="1"/>
      <w:marLeft w:val="0"/>
      <w:marRight w:val="0"/>
      <w:marTop w:val="0"/>
      <w:marBottom w:val="0"/>
      <w:divBdr>
        <w:top w:val="none" w:sz="0" w:space="0" w:color="auto"/>
        <w:left w:val="none" w:sz="0" w:space="0" w:color="auto"/>
        <w:bottom w:val="none" w:sz="0" w:space="0" w:color="auto"/>
        <w:right w:val="none" w:sz="0" w:space="0" w:color="auto"/>
      </w:divBdr>
    </w:div>
    <w:div w:id="852376228">
      <w:bodyDiv w:val="1"/>
      <w:marLeft w:val="0"/>
      <w:marRight w:val="0"/>
      <w:marTop w:val="0"/>
      <w:marBottom w:val="0"/>
      <w:divBdr>
        <w:top w:val="none" w:sz="0" w:space="0" w:color="auto"/>
        <w:left w:val="none" w:sz="0" w:space="0" w:color="auto"/>
        <w:bottom w:val="none" w:sz="0" w:space="0" w:color="auto"/>
        <w:right w:val="none" w:sz="0" w:space="0" w:color="auto"/>
      </w:divBdr>
    </w:div>
    <w:div w:id="1180586981">
      <w:bodyDiv w:val="1"/>
      <w:marLeft w:val="0"/>
      <w:marRight w:val="0"/>
      <w:marTop w:val="0"/>
      <w:marBottom w:val="0"/>
      <w:divBdr>
        <w:top w:val="none" w:sz="0" w:space="0" w:color="auto"/>
        <w:left w:val="none" w:sz="0" w:space="0" w:color="auto"/>
        <w:bottom w:val="none" w:sz="0" w:space="0" w:color="auto"/>
        <w:right w:val="none" w:sz="0" w:space="0" w:color="auto"/>
      </w:divBdr>
    </w:div>
    <w:div w:id="1297949747">
      <w:bodyDiv w:val="1"/>
      <w:marLeft w:val="0"/>
      <w:marRight w:val="0"/>
      <w:marTop w:val="0"/>
      <w:marBottom w:val="0"/>
      <w:divBdr>
        <w:top w:val="none" w:sz="0" w:space="0" w:color="auto"/>
        <w:left w:val="none" w:sz="0" w:space="0" w:color="auto"/>
        <w:bottom w:val="none" w:sz="0" w:space="0" w:color="auto"/>
        <w:right w:val="none" w:sz="0" w:space="0" w:color="auto"/>
      </w:divBdr>
    </w:div>
    <w:div w:id="1803619017">
      <w:bodyDiv w:val="1"/>
      <w:marLeft w:val="0"/>
      <w:marRight w:val="0"/>
      <w:marTop w:val="0"/>
      <w:marBottom w:val="0"/>
      <w:divBdr>
        <w:top w:val="none" w:sz="0" w:space="0" w:color="auto"/>
        <w:left w:val="none" w:sz="0" w:space="0" w:color="auto"/>
        <w:bottom w:val="none" w:sz="0" w:space="0" w:color="auto"/>
        <w:right w:val="none" w:sz="0" w:space="0" w:color="auto"/>
      </w:divBdr>
    </w:div>
    <w:div w:id="18533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587452-6DA1-416F-9ED8-A50F40FF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Griscom</dc:creator>
  <cp:lastModifiedBy>Bronson Griscom</cp:lastModifiedBy>
  <cp:revision>4</cp:revision>
  <dcterms:created xsi:type="dcterms:W3CDTF">2015-12-14T21:51:00Z</dcterms:created>
  <dcterms:modified xsi:type="dcterms:W3CDTF">2015-12-19T17:23:00Z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bgriscom@tnc.org@www.mendeley.com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