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AB" w:rsidRDefault="006648AB" w:rsidP="006648AB">
      <w:pPr>
        <w:spacing w:before="38" w:line="298" w:lineRule="auto"/>
        <w:ind w:left="1337" w:right="1637"/>
        <w:jc w:val="center"/>
        <w:rPr>
          <w:rFonts w:ascii="Arial" w:eastAsia="Book Antiqua" w:hAnsi="Arial" w:cs="Arial"/>
          <w:sz w:val="34"/>
          <w:szCs w:val="34"/>
        </w:rPr>
      </w:pPr>
      <w:r w:rsidRPr="006648AB">
        <w:rPr>
          <w:rFonts w:ascii="Arial" w:eastAsia="Book Antiqua" w:hAnsi="Arial" w:cs="Arial"/>
          <w:sz w:val="34"/>
          <w:szCs w:val="34"/>
        </w:rPr>
        <w:t>Appendix</w:t>
      </w:r>
    </w:p>
    <w:p w:rsidR="00600F7D" w:rsidRPr="006648AB" w:rsidRDefault="00600F7D" w:rsidP="006648AB">
      <w:pPr>
        <w:spacing w:before="38" w:line="298" w:lineRule="auto"/>
        <w:ind w:left="1337" w:right="1637"/>
        <w:jc w:val="center"/>
        <w:rPr>
          <w:rFonts w:ascii="Arial" w:eastAsia="Book Antiqua" w:hAnsi="Arial" w:cs="Arial"/>
          <w:sz w:val="34"/>
          <w:szCs w:val="34"/>
        </w:rPr>
      </w:pPr>
    </w:p>
    <w:p w:rsidR="0077072E" w:rsidRDefault="00600F7D" w:rsidP="006648AB">
      <w:pPr>
        <w:pStyle w:val="Heading1"/>
        <w:tabs>
          <w:tab w:val="left" w:pos="538"/>
        </w:tabs>
        <w:ind w:firstLine="0"/>
        <w:rPr>
          <w:rFonts w:ascii="Arial" w:eastAsiaTheme="minorHAnsi" w:hAnsi="Arial" w:cs="Arial"/>
          <w:bCs w:val="0"/>
        </w:rPr>
      </w:pPr>
      <w:r>
        <w:rPr>
          <w:rFonts w:ascii="Arial" w:eastAsiaTheme="minorHAnsi" w:hAnsi="Arial" w:cs="Arial"/>
          <w:bCs w:val="0"/>
        </w:rPr>
        <w:t>Trial d</w:t>
      </w:r>
      <w:r w:rsidR="0077072E" w:rsidRPr="0077072E">
        <w:rPr>
          <w:rFonts w:ascii="Arial" w:eastAsiaTheme="minorHAnsi" w:hAnsi="Arial" w:cs="Arial"/>
          <w:bCs w:val="0"/>
        </w:rPr>
        <w:t>ata extraction</w:t>
      </w:r>
      <w:r>
        <w:rPr>
          <w:rFonts w:ascii="Arial" w:eastAsiaTheme="minorHAnsi" w:hAnsi="Arial" w:cs="Arial"/>
          <w:bCs w:val="0"/>
        </w:rPr>
        <w:t xml:space="preserve"> and management</w:t>
      </w:r>
    </w:p>
    <w:p w:rsidR="0077072E" w:rsidRPr="0077072E" w:rsidRDefault="0077072E" w:rsidP="006648AB">
      <w:pPr>
        <w:pStyle w:val="Heading1"/>
        <w:tabs>
          <w:tab w:val="left" w:pos="538"/>
        </w:tabs>
        <w:ind w:firstLine="0"/>
        <w:rPr>
          <w:rFonts w:ascii="Arial" w:eastAsiaTheme="minorHAnsi" w:hAnsi="Arial" w:cs="Arial"/>
          <w:bCs w:val="0"/>
        </w:rPr>
      </w:pPr>
    </w:p>
    <w:p w:rsidR="0077072E" w:rsidRDefault="00F0797A" w:rsidP="0077072E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sz w:val="20"/>
          <w:szCs w:val="20"/>
        </w:rPr>
        <w:t>All trial registries were extracted in XML format after empty searches from ClinicalTrials.gov and from WHO International Clinical Trials Registry Platform</w:t>
      </w:r>
      <w:r w:rsidR="00600F7D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 on </w:t>
      </w:r>
      <w:r w:rsidR="00CF69AA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February 2, 2014. </w:t>
      </w:r>
      <w:r w:rsidR="00600F7D">
        <w:rPr>
          <w:rFonts w:ascii="Arial" w:eastAsiaTheme="minorHAnsi" w:hAnsi="Arial" w:cs="Arial"/>
          <w:b w:val="0"/>
          <w:bCs w:val="0"/>
          <w:sz w:val="20"/>
          <w:szCs w:val="20"/>
        </w:rPr>
        <w:t>Data was managed using R software.</w:t>
      </w:r>
    </w:p>
    <w:p w:rsidR="00F0797A" w:rsidRDefault="00F0797A" w:rsidP="0077072E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</w:p>
    <w:p w:rsidR="00F0797A" w:rsidRDefault="00600F7D" w:rsidP="0077072E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sz w:val="20"/>
          <w:szCs w:val="20"/>
        </w:rPr>
        <w:t>For each trial we extracted the following fields present in the XML documents:</w:t>
      </w:r>
    </w:p>
    <w:p w:rsidR="00600F7D" w:rsidRDefault="00600F7D" w:rsidP="00600F7D">
      <w:pPr>
        <w:pStyle w:val="Heading1"/>
        <w:numPr>
          <w:ilvl w:val="0"/>
          <w:numId w:val="2"/>
        </w:numPr>
        <w:tabs>
          <w:tab w:val="left" w:pos="538"/>
        </w:tabs>
        <w:rPr>
          <w:rFonts w:ascii="Arial" w:eastAsiaTheme="minorHAnsi" w:hAnsi="Arial" w:cs="Arial"/>
          <w:b w:val="0"/>
          <w:bCs w:val="0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sz w:val="20"/>
          <w:szCs w:val="20"/>
        </w:rPr>
        <w:t>Main ID</w:t>
      </w:r>
    </w:p>
    <w:p w:rsidR="00600F7D" w:rsidRDefault="00600F7D" w:rsidP="00600F7D">
      <w:pPr>
        <w:pStyle w:val="Heading1"/>
        <w:numPr>
          <w:ilvl w:val="0"/>
          <w:numId w:val="2"/>
        </w:numPr>
        <w:tabs>
          <w:tab w:val="left" w:pos="538"/>
        </w:tabs>
        <w:rPr>
          <w:rFonts w:ascii="Arial" w:eastAsiaTheme="minorHAnsi" w:hAnsi="Arial" w:cs="Arial"/>
          <w:b w:val="0"/>
          <w:bCs w:val="0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sz w:val="20"/>
          <w:szCs w:val="20"/>
        </w:rPr>
        <w:t>Secondary ID</w:t>
      </w:r>
    </w:p>
    <w:p w:rsidR="00600F7D" w:rsidRDefault="00600F7D" w:rsidP="00600F7D">
      <w:pPr>
        <w:pStyle w:val="Heading1"/>
        <w:numPr>
          <w:ilvl w:val="0"/>
          <w:numId w:val="2"/>
        </w:numPr>
        <w:tabs>
          <w:tab w:val="left" w:pos="538"/>
        </w:tabs>
        <w:rPr>
          <w:rFonts w:ascii="Arial" w:eastAsiaTheme="minorHAnsi" w:hAnsi="Arial" w:cs="Arial"/>
          <w:b w:val="0"/>
          <w:bCs w:val="0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sz w:val="20"/>
          <w:szCs w:val="20"/>
        </w:rPr>
        <w:t>Primary sponsor</w:t>
      </w:r>
    </w:p>
    <w:p w:rsidR="006B5A7D" w:rsidRDefault="006B5A7D" w:rsidP="00600F7D">
      <w:pPr>
        <w:pStyle w:val="Heading1"/>
        <w:numPr>
          <w:ilvl w:val="0"/>
          <w:numId w:val="2"/>
        </w:numPr>
        <w:tabs>
          <w:tab w:val="left" w:pos="538"/>
        </w:tabs>
        <w:rPr>
          <w:rFonts w:ascii="Arial" w:eastAsiaTheme="minorHAnsi" w:hAnsi="Arial" w:cs="Arial"/>
          <w:b w:val="0"/>
          <w:bCs w:val="0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sz w:val="20"/>
          <w:szCs w:val="20"/>
        </w:rPr>
        <w:t>Sponsor type (only in ClinicalTrials.gov registries)</w:t>
      </w:r>
    </w:p>
    <w:p w:rsidR="00600F7D" w:rsidRDefault="00600F7D" w:rsidP="00600F7D">
      <w:pPr>
        <w:pStyle w:val="Heading1"/>
        <w:numPr>
          <w:ilvl w:val="0"/>
          <w:numId w:val="2"/>
        </w:numPr>
        <w:tabs>
          <w:tab w:val="left" w:pos="538"/>
        </w:tabs>
        <w:rPr>
          <w:rFonts w:ascii="Arial" w:eastAsiaTheme="minorHAnsi" w:hAnsi="Arial" w:cs="Arial"/>
          <w:b w:val="0"/>
          <w:bCs w:val="0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sz w:val="20"/>
          <w:szCs w:val="20"/>
        </w:rPr>
        <w:t>Country location</w:t>
      </w:r>
      <w:r w:rsidR="00C54120">
        <w:rPr>
          <w:rFonts w:ascii="Arial" w:eastAsiaTheme="minorHAnsi" w:hAnsi="Arial" w:cs="Arial"/>
          <w:b w:val="0"/>
          <w:bCs w:val="0"/>
          <w:sz w:val="20"/>
          <w:szCs w:val="20"/>
        </w:rPr>
        <w:t>(s)</w:t>
      </w:r>
    </w:p>
    <w:p w:rsidR="00600F7D" w:rsidRDefault="00C54120" w:rsidP="00600F7D">
      <w:pPr>
        <w:pStyle w:val="Heading1"/>
        <w:numPr>
          <w:ilvl w:val="0"/>
          <w:numId w:val="2"/>
        </w:numPr>
        <w:tabs>
          <w:tab w:val="left" w:pos="538"/>
        </w:tabs>
        <w:rPr>
          <w:rFonts w:ascii="Arial" w:eastAsiaTheme="minorHAnsi" w:hAnsi="Arial" w:cs="Arial"/>
          <w:b w:val="0"/>
          <w:bCs w:val="0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sz w:val="20"/>
          <w:szCs w:val="20"/>
        </w:rPr>
        <w:t>Start date</w:t>
      </w:r>
    </w:p>
    <w:p w:rsidR="00F0797A" w:rsidRDefault="00F0797A" w:rsidP="0077072E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</w:p>
    <w:p w:rsidR="0077072E" w:rsidRDefault="00600F7D" w:rsidP="00C54120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sz w:val="20"/>
          <w:szCs w:val="20"/>
        </w:rPr>
        <w:t>Duplicates were identified using the Main ID and Secondary ID</w:t>
      </w:r>
      <w:r w:rsidR="005C43B1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 fields.</w:t>
      </w:r>
    </w:p>
    <w:p w:rsidR="00C54120" w:rsidRDefault="00C54120" w:rsidP="006648AB">
      <w:pPr>
        <w:pStyle w:val="Heading1"/>
        <w:tabs>
          <w:tab w:val="left" w:pos="538"/>
        </w:tabs>
        <w:ind w:firstLine="0"/>
        <w:rPr>
          <w:rFonts w:ascii="Arial" w:eastAsiaTheme="minorHAnsi" w:hAnsi="Arial" w:cs="Arial"/>
          <w:b w:val="0"/>
          <w:bCs w:val="0"/>
          <w:sz w:val="34"/>
          <w:szCs w:val="34"/>
        </w:rPr>
      </w:pPr>
    </w:p>
    <w:p w:rsidR="006648AB" w:rsidRPr="006648AB" w:rsidRDefault="006648AB" w:rsidP="006648AB">
      <w:pPr>
        <w:pStyle w:val="Heading1"/>
        <w:tabs>
          <w:tab w:val="left" w:pos="538"/>
        </w:tabs>
        <w:ind w:firstLine="0"/>
        <w:rPr>
          <w:rFonts w:ascii="Arial" w:hAnsi="Arial" w:cs="Arial"/>
          <w:b w:val="0"/>
          <w:bCs w:val="0"/>
        </w:rPr>
      </w:pPr>
      <w:r w:rsidRPr="006648AB">
        <w:rPr>
          <w:rFonts w:ascii="Arial" w:hAnsi="Arial" w:cs="Arial"/>
        </w:rPr>
        <w:t>Sponsor</w:t>
      </w:r>
      <w:r w:rsidRPr="006648AB">
        <w:rPr>
          <w:rFonts w:ascii="Arial" w:hAnsi="Arial" w:cs="Arial"/>
          <w:spacing w:val="22"/>
        </w:rPr>
        <w:t xml:space="preserve"> </w:t>
      </w:r>
      <w:r w:rsidRPr="006648AB">
        <w:rPr>
          <w:rFonts w:ascii="Arial" w:hAnsi="Arial" w:cs="Arial"/>
        </w:rPr>
        <w:t>classification</w:t>
      </w:r>
    </w:p>
    <w:p w:rsidR="006648AB" w:rsidRPr="006648AB" w:rsidRDefault="006648AB" w:rsidP="006648AB">
      <w:pPr>
        <w:spacing w:before="5" w:line="150" w:lineRule="exact"/>
        <w:rPr>
          <w:rFonts w:ascii="Arial" w:hAnsi="Arial" w:cs="Arial"/>
          <w:sz w:val="15"/>
          <w:szCs w:val="15"/>
        </w:rPr>
      </w:pPr>
    </w:p>
    <w:p w:rsidR="006648AB" w:rsidRPr="006648AB" w:rsidRDefault="006648AB" w:rsidP="006648AB">
      <w:pPr>
        <w:spacing w:line="280" w:lineRule="exact"/>
        <w:rPr>
          <w:rFonts w:ascii="Arial" w:hAnsi="Arial" w:cs="Arial"/>
          <w:sz w:val="28"/>
          <w:szCs w:val="28"/>
        </w:rPr>
      </w:pPr>
    </w:p>
    <w:p w:rsidR="006648AB" w:rsidRPr="00F0797A" w:rsidRDefault="006648AB" w:rsidP="00F0797A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Trial sponsors that did not appear in the sponsor list of ClinicalTrials.gov were classified as industry or non-industry if one of the following keywords was included in the sponsor name (case sensitive search).</w:t>
      </w:r>
    </w:p>
    <w:p w:rsidR="006648AB" w:rsidRPr="00F0797A" w:rsidRDefault="006648AB" w:rsidP="00F0797A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</w:p>
    <w:p w:rsidR="006648AB" w:rsidRPr="00F0797A" w:rsidRDefault="006648AB" w:rsidP="00F0797A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Keywords for industry sponsors: "Inc", "INC", "LTD", "Limited", "LIMITED", "Ltd", "Co.", </w:t>
      </w:r>
      <w:r w:rsidR="00F0797A">
        <w:rPr>
          <w:rFonts w:ascii="Arial" w:eastAsiaTheme="minorHAnsi" w:hAnsi="Arial" w:cs="Arial"/>
          <w:b w:val="0"/>
          <w:bCs w:val="0"/>
          <w:sz w:val="20"/>
          <w:szCs w:val="20"/>
        </w:rPr>
        <w:t>"Corpo</w:t>
      </w:r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ration", "Company", "LLC", "S.A", "A/S",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a.s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"S A", "S. A",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S.p.A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"S.L", "S. L", "SAS", "GmbH",</w:t>
      </w:r>
    </w:p>
    <w:p w:rsidR="006648AB" w:rsidRPr="00F0797A" w:rsidRDefault="006648AB" w:rsidP="00F0797A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"GMBH",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Pvt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"Private",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Pharma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pharma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"PHARMA", "ROCHE", "Praxis",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Laborato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", </w:t>
      </w:r>
      <w:r w:rsidR="00F0797A">
        <w:rPr>
          <w:rFonts w:ascii="Arial" w:eastAsiaTheme="minorHAnsi" w:hAnsi="Arial" w:cs="Arial"/>
          <w:b w:val="0"/>
          <w:bCs w:val="0"/>
          <w:sz w:val="20"/>
          <w:szCs w:val="20"/>
        </w:rPr>
        <w:t>"LAB</w:t>
      </w:r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ORATO", "Plc", "plc", "FARMEX".</w:t>
      </w:r>
    </w:p>
    <w:p w:rsidR="006648AB" w:rsidRPr="00F0797A" w:rsidRDefault="006648AB" w:rsidP="00F0797A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</w:p>
    <w:p w:rsidR="006648AB" w:rsidRPr="00F0797A" w:rsidRDefault="006648AB" w:rsidP="00F0797A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Keywords for non-industry sponsors: 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institut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Institut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"INSTITUT",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Univ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univ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"UNIV", "UMC", "UH",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Uniklinik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"College", "COLLEGE", "college", "World Health Organization", "World health Organization", "NHS", "Public", "UCL", "Hospital", "HOSPITAL", "Hospices", "hospices",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Hôpital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"hospital",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Hopital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"World", "WORLD", "national", "National", "Social",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Zon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Minist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", </w:t>
      </w:r>
      <w:r w:rsidR="00F0797A">
        <w:rPr>
          <w:rFonts w:ascii="Arial" w:eastAsiaTheme="minorHAnsi" w:hAnsi="Arial" w:cs="Arial"/>
          <w:b w:val="0"/>
          <w:bCs w:val="0"/>
          <w:sz w:val="20"/>
          <w:szCs w:val="20"/>
        </w:rPr>
        <w:t>"Foun</w:t>
      </w:r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dation",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Fundación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"FONDAZIONE",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Fondation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"Medical Research Council", "MRC", "School",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Klinik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"ISTITUT",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Istitut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"UZ", "Medical Center",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Medisch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 Centrum", "Council", "council", "COUNCIL",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Grupo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Español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"GRUPO ESPAÑOL",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Grupo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 de ", "GRUPO DE", "GRUPPO ITALIANO",</w:t>
      </w:r>
    </w:p>
    <w:p w:rsidR="006648AB" w:rsidRPr="00F0797A" w:rsidRDefault="006648AB" w:rsidP="00F0797A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Pública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Fédération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Facul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"Research Center", "Research Centre", "research center", "research centre",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Zentrum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", "</w:t>
      </w:r>
      <w:proofErr w:type="spellStart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Wellcome</w:t>
      </w:r>
      <w:proofErr w:type="spellEnd"/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 Trust", "medical center", "Medical center".</w:t>
      </w:r>
    </w:p>
    <w:p w:rsidR="006648AB" w:rsidRPr="00F0797A" w:rsidRDefault="006648AB" w:rsidP="00F0797A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</w:p>
    <w:p w:rsidR="006648AB" w:rsidRPr="00F0797A" w:rsidRDefault="006648AB" w:rsidP="00F0797A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When the algorithm classified a trial as both industry- and non-industry–sponsored (209/15273 </w:t>
      </w:r>
      <w:r w:rsidR="00F0797A">
        <w:rPr>
          <w:rFonts w:ascii="Arial" w:eastAsiaTheme="minorHAnsi" w:hAnsi="Arial" w:cs="Arial"/>
          <w:b w:val="0"/>
          <w:bCs w:val="0"/>
          <w:sz w:val="20"/>
          <w:szCs w:val="20"/>
        </w:rPr>
        <w:t>tri</w:t>
      </w:r>
      <w:r w:rsidRPr="00F0797A">
        <w:rPr>
          <w:rFonts w:ascii="Arial" w:eastAsiaTheme="minorHAnsi" w:hAnsi="Arial" w:cs="Arial"/>
          <w:b w:val="0"/>
          <w:bCs w:val="0"/>
          <w:sz w:val="20"/>
          <w:szCs w:val="20"/>
        </w:rPr>
        <w:t>als), the sponsor was screened and manually classified.</w:t>
      </w:r>
    </w:p>
    <w:p w:rsidR="00C80E8C" w:rsidRPr="00F0797A" w:rsidRDefault="00C80E8C" w:rsidP="00F0797A">
      <w:pPr>
        <w:pStyle w:val="Heading1"/>
        <w:tabs>
          <w:tab w:val="left" w:pos="538"/>
        </w:tabs>
        <w:ind w:left="0" w:firstLine="0"/>
        <w:rPr>
          <w:rFonts w:ascii="Arial" w:eastAsiaTheme="minorHAnsi" w:hAnsi="Arial" w:cs="Arial"/>
          <w:b w:val="0"/>
          <w:bCs w:val="0"/>
          <w:sz w:val="20"/>
          <w:szCs w:val="20"/>
        </w:rPr>
      </w:pPr>
    </w:p>
    <w:sectPr w:rsidR="00C80E8C" w:rsidRPr="00F0797A" w:rsidSect="00C8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F2452"/>
    <w:multiLevelType w:val="hybridMultilevel"/>
    <w:tmpl w:val="DADA6022"/>
    <w:lvl w:ilvl="0" w:tplc="750CB79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17A17"/>
    <w:multiLevelType w:val="hybridMultilevel"/>
    <w:tmpl w:val="D032B3E4"/>
    <w:lvl w:ilvl="0" w:tplc="D5940802">
      <w:start w:val="1"/>
      <w:numFmt w:val="decimal"/>
      <w:lvlText w:val="%1"/>
      <w:lvlJc w:val="left"/>
      <w:pPr>
        <w:ind w:left="537" w:hanging="431"/>
      </w:pPr>
      <w:rPr>
        <w:rFonts w:ascii="Book Antiqua" w:eastAsia="Book Antiqua" w:hAnsi="Book Antiqua" w:hint="default"/>
        <w:b/>
        <w:bCs/>
        <w:w w:val="102"/>
        <w:sz w:val="28"/>
        <w:szCs w:val="28"/>
      </w:rPr>
    </w:lvl>
    <w:lvl w:ilvl="1" w:tplc="750CB796">
      <w:start w:val="1"/>
      <w:numFmt w:val="bullet"/>
      <w:lvlText w:val="•"/>
      <w:lvlJc w:val="left"/>
      <w:pPr>
        <w:ind w:left="825" w:hanging="431"/>
      </w:pPr>
      <w:rPr>
        <w:rFonts w:hint="default"/>
      </w:rPr>
    </w:lvl>
    <w:lvl w:ilvl="2" w:tplc="6BE8224A">
      <w:start w:val="1"/>
      <w:numFmt w:val="bullet"/>
      <w:lvlText w:val="•"/>
      <w:lvlJc w:val="left"/>
      <w:pPr>
        <w:ind w:left="1080" w:hanging="431"/>
      </w:pPr>
      <w:rPr>
        <w:rFonts w:hint="default"/>
      </w:rPr>
    </w:lvl>
    <w:lvl w:ilvl="3" w:tplc="C03EAE6C">
      <w:start w:val="1"/>
      <w:numFmt w:val="bullet"/>
      <w:lvlText w:val="•"/>
      <w:lvlJc w:val="left"/>
      <w:pPr>
        <w:ind w:left="1334" w:hanging="431"/>
      </w:pPr>
      <w:rPr>
        <w:rFonts w:hint="default"/>
      </w:rPr>
    </w:lvl>
    <w:lvl w:ilvl="4" w:tplc="0E682F72">
      <w:start w:val="1"/>
      <w:numFmt w:val="bullet"/>
      <w:lvlText w:val="•"/>
      <w:lvlJc w:val="left"/>
      <w:pPr>
        <w:ind w:left="1588" w:hanging="431"/>
      </w:pPr>
      <w:rPr>
        <w:rFonts w:hint="default"/>
      </w:rPr>
    </w:lvl>
    <w:lvl w:ilvl="5" w:tplc="A6162BDE">
      <w:start w:val="1"/>
      <w:numFmt w:val="bullet"/>
      <w:lvlText w:val="•"/>
      <w:lvlJc w:val="left"/>
      <w:pPr>
        <w:ind w:left="1843" w:hanging="431"/>
      </w:pPr>
      <w:rPr>
        <w:rFonts w:hint="default"/>
      </w:rPr>
    </w:lvl>
    <w:lvl w:ilvl="6" w:tplc="4FDACE1E">
      <w:start w:val="1"/>
      <w:numFmt w:val="bullet"/>
      <w:lvlText w:val="•"/>
      <w:lvlJc w:val="left"/>
      <w:pPr>
        <w:ind w:left="2097" w:hanging="431"/>
      </w:pPr>
      <w:rPr>
        <w:rFonts w:hint="default"/>
      </w:rPr>
    </w:lvl>
    <w:lvl w:ilvl="7" w:tplc="017E8698">
      <w:start w:val="1"/>
      <w:numFmt w:val="bullet"/>
      <w:lvlText w:val="•"/>
      <w:lvlJc w:val="left"/>
      <w:pPr>
        <w:ind w:left="2352" w:hanging="431"/>
      </w:pPr>
      <w:rPr>
        <w:rFonts w:hint="default"/>
      </w:rPr>
    </w:lvl>
    <w:lvl w:ilvl="8" w:tplc="D4FEA9BA">
      <w:start w:val="1"/>
      <w:numFmt w:val="bullet"/>
      <w:lvlText w:val="•"/>
      <w:lvlJc w:val="left"/>
      <w:pPr>
        <w:ind w:left="2606" w:hanging="43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/>
  <w:rsids>
    <w:rsidRoot w:val="006648AB"/>
    <w:rsid w:val="00087773"/>
    <w:rsid w:val="00212940"/>
    <w:rsid w:val="005C43B1"/>
    <w:rsid w:val="00600F7D"/>
    <w:rsid w:val="006648AB"/>
    <w:rsid w:val="006B5A7D"/>
    <w:rsid w:val="0077072E"/>
    <w:rsid w:val="00B9184D"/>
    <w:rsid w:val="00C54120"/>
    <w:rsid w:val="00C63EB3"/>
    <w:rsid w:val="00C7262A"/>
    <w:rsid w:val="00C80E8C"/>
    <w:rsid w:val="00CF69AA"/>
    <w:rsid w:val="00F0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8AB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648AB"/>
    <w:pPr>
      <w:ind w:left="107"/>
    </w:pPr>
    <w:rPr>
      <w:rFonts w:ascii="Book Antiqua" w:eastAsia="Book Antiqua" w:hAnsi="Book Antiqu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648AB"/>
    <w:rPr>
      <w:rFonts w:ascii="Book Antiqua" w:eastAsia="Book Antiqua" w:hAnsi="Book Antiqua"/>
      <w:sz w:val="20"/>
      <w:szCs w:val="20"/>
      <w:lang w:val="en-US"/>
    </w:rPr>
  </w:style>
  <w:style w:type="paragraph" w:customStyle="1" w:styleId="Heading1">
    <w:name w:val="Heading 1"/>
    <w:basedOn w:val="Normal"/>
    <w:uiPriority w:val="1"/>
    <w:qFormat/>
    <w:rsid w:val="006648AB"/>
    <w:pPr>
      <w:ind w:left="537" w:hanging="430"/>
      <w:outlineLvl w:val="1"/>
    </w:pPr>
    <w:rPr>
      <w:rFonts w:ascii="Book Antiqua" w:eastAsia="Book Antiqua" w:hAnsi="Book Antiqu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Ignacio</cp:lastModifiedBy>
  <cp:revision>11</cp:revision>
  <dcterms:created xsi:type="dcterms:W3CDTF">2014-10-20T13:34:00Z</dcterms:created>
  <dcterms:modified xsi:type="dcterms:W3CDTF">2014-10-20T14:07:00Z</dcterms:modified>
</cp:coreProperties>
</file>