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1DCD" w:rsidRPr="00502BAD" w:rsidRDefault="00474338">
      <w:pPr>
        <w:rPr>
          <w:rFonts w:ascii="Times New Roman" w:hAnsi="Times New Roman" w:cs="Times New Roman"/>
          <w:b/>
        </w:rPr>
      </w:pPr>
      <w:r>
        <w:rPr>
          <w:rFonts w:ascii="Times New Roman" w:hAnsi="Times New Roman" w:cs="Times New Roman"/>
          <w:b/>
        </w:rPr>
        <w:t xml:space="preserve">Individual Variation in </w:t>
      </w:r>
      <w:r w:rsidR="009754E8" w:rsidRPr="00502BAD">
        <w:rPr>
          <w:rFonts w:ascii="Times New Roman" w:hAnsi="Times New Roman" w:cs="Times New Roman"/>
          <w:b/>
        </w:rPr>
        <w:t xml:space="preserve">Spectral </w:t>
      </w:r>
      <w:r w:rsidR="00951DCD" w:rsidRPr="00502BAD">
        <w:rPr>
          <w:rFonts w:ascii="Times New Roman" w:hAnsi="Times New Roman" w:cs="Times New Roman"/>
          <w:b/>
        </w:rPr>
        <w:t xml:space="preserve">PCA </w:t>
      </w:r>
      <w:r w:rsidR="00502BAD">
        <w:rPr>
          <w:rFonts w:ascii="Times New Roman" w:hAnsi="Times New Roman" w:cs="Times New Roman"/>
          <w:b/>
        </w:rPr>
        <w:t xml:space="preserve">Component Loadings </w:t>
      </w:r>
    </w:p>
    <w:p w:rsidR="009754E8" w:rsidRDefault="003045B3">
      <w:pPr>
        <w:rPr>
          <w:rFonts w:ascii="Times New Roman" w:hAnsi="Times New Roman" w:cs="Times New Roman"/>
          <w:noProof/>
          <w:lang w:val="en-GB" w:eastAsia="en-GB" w:bidi="ar-SA"/>
        </w:rPr>
      </w:pPr>
      <w:r>
        <w:rPr>
          <w:rFonts w:ascii="Times New Roman" w:hAnsi="Times New Roman" w:cs="Times New Roman"/>
          <w:noProof/>
          <w:lang w:val="en-GB" w:eastAsia="en-GB" w:bidi="ar-SA"/>
        </w:rPr>
        <w:pict>
          <v:shapetype id="_x0000_t202" coordsize="21600,21600" o:spt="202" path="m,l,21600r21600,l21600,xe">
            <v:stroke joinstyle="miter"/>
            <v:path gradientshapeok="t" o:connecttype="rect"/>
          </v:shapetype>
          <v:shape id="_x0000_s1026" type="#_x0000_t202" style="position:absolute;left:0;text-align:left;margin-left:-2pt;margin-top:441.75pt;width:328.2pt;height:26pt;z-index:251659264" stroked="f">
            <v:textbox style="mso-next-textbox:#_x0000_s1026">
              <w:txbxContent>
                <w:p w:rsidR="00C0082D" w:rsidRPr="00956FDF" w:rsidRDefault="00C0082D">
                  <w:pPr>
                    <w:rPr>
                      <w:rFonts w:ascii="Times New Roman" w:hAnsi="Times New Roman" w:cs="Times New Roman"/>
                      <w:i/>
                    </w:rPr>
                  </w:pPr>
                  <w:r w:rsidRPr="00956FDF">
                    <w:rPr>
                      <w:rFonts w:ascii="Times New Roman" w:hAnsi="Times New Roman" w:cs="Times New Roman"/>
                      <w:i/>
                    </w:rPr>
                    <w:t>Figure a. Individual spectral PCA component loading patterns</w:t>
                  </w:r>
                </w:p>
              </w:txbxContent>
            </v:textbox>
          </v:shape>
        </w:pict>
      </w:r>
      <w:r w:rsidR="00956FDF">
        <w:rPr>
          <w:rFonts w:ascii="Times New Roman" w:hAnsi="Times New Roman" w:cs="Times New Roman"/>
        </w:rPr>
        <w:t>Figure a shows the spectral PCA component loading patterns for each individual speaker (P01 to P06). In each subplot, the lin</w:t>
      </w:r>
      <w:r w:rsidR="00631216">
        <w:rPr>
          <w:rFonts w:ascii="Times New Roman" w:hAnsi="Times New Roman" w:cs="Times New Roman"/>
        </w:rPr>
        <w:t xml:space="preserve">es of different thickness indicate different PCA components. More important (lower numbered) components are shown in a thicker line. </w:t>
      </w:r>
      <w:r w:rsidR="009754E8">
        <w:rPr>
          <w:rFonts w:ascii="Times New Roman" w:hAnsi="Times New Roman" w:cs="Times New Roman"/>
        </w:rPr>
        <w:t>The loading patterns for the top 5 PCA components shown here are broadly similar across the 6 speakers. The total amount of variance explained by the top 5 components was also similar across speakers, ranging from 62.1% to 68.0%.</w:t>
      </w:r>
      <w:r w:rsidR="006975A3">
        <w:rPr>
          <w:rFonts w:ascii="Times New Roman" w:hAnsi="Times New Roman" w:cs="Times New Roman"/>
        </w:rPr>
        <w:t xml:space="preserve"> It may be observed that the 6 speakers produced broadly consistent PCA loading patterns, particularly for the first 3 components.</w:t>
      </w:r>
      <w:r w:rsidR="00127E95" w:rsidRPr="00127E95">
        <w:rPr>
          <w:rFonts w:ascii="Times New Roman" w:hAnsi="Times New Roman" w:cs="Times New Roman"/>
          <w:noProof/>
          <w:lang w:val="en-GB" w:eastAsia="en-GB" w:bidi="ar-SA"/>
        </w:rPr>
        <w:t xml:space="preserve"> </w:t>
      </w:r>
      <w:r w:rsidR="00127E95">
        <w:rPr>
          <w:rFonts w:ascii="Times New Roman" w:hAnsi="Times New Roman" w:cs="Times New Roman"/>
          <w:noProof/>
          <w:lang w:val="en-GB" w:eastAsia="en-GB" w:bidi="ar-SA"/>
        </w:rPr>
        <w:drawing>
          <wp:inline distT="0" distB="0" distL="0" distR="0">
            <wp:extent cx="5731510" cy="3880855"/>
            <wp:effectExtent l="19050" t="0" r="2540" b="0"/>
            <wp:docPr id="2" name="Picture 45" descr="S_PCA_iC1-5_bw.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PCA_iC1-5_bw.bmp"/>
                    <pic:cNvPicPr/>
                  </pic:nvPicPr>
                  <pic:blipFill>
                    <a:blip r:embed="rId6" cstate="print"/>
                    <a:srcRect l="10449" r="8443"/>
                    <a:stretch>
                      <a:fillRect/>
                    </a:stretch>
                  </pic:blipFill>
                  <pic:spPr>
                    <a:xfrm>
                      <a:off x="0" y="0"/>
                      <a:ext cx="5731510" cy="3880855"/>
                    </a:xfrm>
                    <a:prstGeom prst="rect">
                      <a:avLst/>
                    </a:prstGeom>
                  </pic:spPr>
                </pic:pic>
              </a:graphicData>
            </a:graphic>
          </wp:inline>
        </w:drawing>
      </w:r>
    </w:p>
    <w:p w:rsidR="00127E95" w:rsidRPr="00127E95" w:rsidRDefault="00127E95">
      <w:pPr>
        <w:rPr>
          <w:rFonts w:ascii="Times New Roman" w:hAnsi="Times New Roman" w:cs="Times New Roman"/>
          <w:sz w:val="6"/>
        </w:rPr>
      </w:pPr>
    </w:p>
    <w:p w:rsidR="00CD6410" w:rsidRDefault="006975A3">
      <w:pPr>
        <w:rPr>
          <w:rFonts w:ascii="Times New Roman" w:hAnsi="Times New Roman" w:cs="Times New Roman"/>
        </w:rPr>
      </w:pPr>
      <w:r>
        <w:rPr>
          <w:rFonts w:ascii="Times New Roman" w:hAnsi="Times New Roman" w:cs="Times New Roman"/>
        </w:rPr>
        <w:t xml:space="preserve">The population distribution of peaks and troughs across the 6 speakers for each principal component is shown in Figure b. In Figure b, the x-axis indicates the spectral centre frequency, the y-axis indicates the frequency with which a peak or trough was identified at that spectral frequency, and the different </w:t>
      </w:r>
      <w:proofErr w:type="spellStart"/>
      <w:r>
        <w:rPr>
          <w:rFonts w:ascii="Times New Roman" w:hAnsi="Times New Roman" w:cs="Times New Roman"/>
        </w:rPr>
        <w:t>coloured</w:t>
      </w:r>
      <w:proofErr w:type="spellEnd"/>
      <w:r>
        <w:rPr>
          <w:rFonts w:ascii="Times New Roman" w:hAnsi="Times New Roman" w:cs="Times New Roman"/>
        </w:rPr>
        <w:t xml:space="preserve"> bars indicate the first 5 principle components. The population distribution of trough locations (top panel of Figure b) indicates that, across the 5 PCs, most of our speakers showed troughs at ~300 Hz, between 700-800 Hz, at ~1700 Hz and between 3000-4400 Hz. These spectral regions are</w:t>
      </w:r>
      <w:r w:rsidR="00CD0F45">
        <w:rPr>
          <w:rFonts w:ascii="Times New Roman" w:hAnsi="Times New Roman" w:cs="Times New Roman"/>
        </w:rPr>
        <w:t xml:space="preserve"> broadly</w:t>
      </w:r>
      <w:r>
        <w:rPr>
          <w:rFonts w:ascii="Times New Roman" w:hAnsi="Times New Roman" w:cs="Times New Roman"/>
        </w:rPr>
        <w:t xml:space="preserve"> consistent with the 4 band divisions identified </w:t>
      </w:r>
      <w:r w:rsidR="00CD0F45">
        <w:rPr>
          <w:rFonts w:ascii="Times New Roman" w:hAnsi="Times New Roman" w:cs="Times New Roman"/>
        </w:rPr>
        <w:t xml:space="preserve">on the basis of </w:t>
      </w:r>
      <w:r>
        <w:rPr>
          <w:rFonts w:ascii="Times New Roman" w:hAnsi="Times New Roman" w:cs="Times New Roman"/>
        </w:rPr>
        <w:t xml:space="preserve">the grand mean PCA loading patterns in the main text. </w:t>
      </w:r>
      <w:r w:rsidR="00CD0F45">
        <w:rPr>
          <w:rFonts w:ascii="Times New Roman" w:hAnsi="Times New Roman" w:cs="Times New Roman"/>
        </w:rPr>
        <w:t xml:space="preserve">However, this figure also shows that there is considerable individual variation </w:t>
      </w:r>
      <w:r w:rsidR="00CD0F45">
        <w:rPr>
          <w:rFonts w:ascii="Times New Roman" w:hAnsi="Times New Roman" w:cs="Times New Roman"/>
        </w:rPr>
        <w:lastRenderedPageBreak/>
        <w:t xml:space="preserve">in trough locations, particularly for the middle spectral frequencies. Nonetheless, there is a very high population tendency for a trough to be located at the low frequency of ~300 Hz, delineating the boundary between spectral bands 1 &amp; 2. The population distribution of peaks provides a complementary picture. Most speakers show </w:t>
      </w:r>
      <w:r w:rsidR="00437133">
        <w:rPr>
          <w:rFonts w:ascii="Times New Roman" w:hAnsi="Times New Roman" w:cs="Times New Roman"/>
        </w:rPr>
        <w:t xml:space="preserve">a </w:t>
      </w:r>
      <w:r w:rsidR="00CD0F45">
        <w:rPr>
          <w:rFonts w:ascii="Times New Roman" w:hAnsi="Times New Roman" w:cs="Times New Roman"/>
        </w:rPr>
        <w:t>peak within Band 1 (~200 Hz)</w:t>
      </w:r>
      <w:r w:rsidR="00437133">
        <w:rPr>
          <w:rFonts w:ascii="Times New Roman" w:hAnsi="Times New Roman" w:cs="Times New Roman"/>
        </w:rPr>
        <w:t>, and there is also a weaker population tendency towards peaks in PC loading at ~400 Hz (Band  2), between 900-1300 Hz (Band 3), at ~2500 Hz (Band 4) and at the ~6000 Hz (Band 5).</w:t>
      </w:r>
      <w:r w:rsidR="00013BC0">
        <w:rPr>
          <w:rFonts w:ascii="Times New Roman" w:hAnsi="Times New Roman" w:cs="Times New Roman"/>
        </w:rPr>
        <w:t xml:space="preserve"> In conclusion, the Spectral Band divisions appear to highly consistent across individuals at low spectral frequencies (i.e. Bands 1 &amp; 2), and less consistent across individuals for mid-to-high frequencies.</w:t>
      </w:r>
    </w:p>
    <w:p w:rsidR="00CD6410" w:rsidRPr="00502BAD" w:rsidRDefault="003045B3" w:rsidP="00127E95">
      <w:pPr>
        <w:spacing w:line="276" w:lineRule="auto"/>
        <w:jc w:val="left"/>
        <w:rPr>
          <w:rFonts w:ascii="Times New Roman" w:hAnsi="Times New Roman" w:cs="Times New Roman"/>
          <w:b/>
        </w:rPr>
      </w:pPr>
      <w:r w:rsidRPr="003045B3">
        <w:rPr>
          <w:rFonts w:ascii="Times New Roman" w:hAnsi="Times New Roman" w:cs="Times New Roman"/>
          <w:noProof/>
          <w:lang w:val="en-GB" w:eastAsia="en-GB" w:bidi="ar-SA"/>
        </w:rPr>
        <w:pict>
          <v:shape id="_x0000_s1030" type="#_x0000_t202" style="position:absolute;margin-left:-10.65pt;margin-top:291.1pt;width:455.95pt;height:26pt;z-index:251662336" stroked="f">
            <v:textbox style="mso-next-textbox:#_x0000_s1030">
              <w:txbxContent>
                <w:p w:rsidR="003D48C6" w:rsidRPr="00956FDF" w:rsidRDefault="003D48C6" w:rsidP="003D48C6">
                  <w:pPr>
                    <w:rPr>
                      <w:rFonts w:ascii="Times New Roman" w:hAnsi="Times New Roman" w:cs="Times New Roman"/>
                      <w:i/>
                    </w:rPr>
                  </w:pPr>
                  <w:r w:rsidRPr="00956FDF">
                    <w:rPr>
                      <w:rFonts w:ascii="Times New Roman" w:hAnsi="Times New Roman" w:cs="Times New Roman"/>
                      <w:i/>
                    </w:rPr>
                    <w:t xml:space="preserve">Figure </w:t>
                  </w:r>
                  <w:r>
                    <w:rPr>
                      <w:rFonts w:ascii="Times New Roman" w:hAnsi="Times New Roman" w:cs="Times New Roman"/>
                      <w:i/>
                    </w:rPr>
                    <w:t>b</w:t>
                  </w:r>
                  <w:r w:rsidRPr="00956FDF">
                    <w:rPr>
                      <w:rFonts w:ascii="Times New Roman" w:hAnsi="Times New Roman" w:cs="Times New Roman"/>
                      <w:i/>
                    </w:rPr>
                    <w:t xml:space="preserve">. </w:t>
                  </w:r>
                  <w:r>
                    <w:rPr>
                      <w:rFonts w:ascii="Times New Roman" w:hAnsi="Times New Roman" w:cs="Times New Roman"/>
                      <w:i/>
                    </w:rPr>
                    <w:t>Population distribution of trough locations (top) and peak locations (bottom)</w:t>
                  </w:r>
                </w:p>
              </w:txbxContent>
            </v:textbox>
          </v:shape>
        </w:pict>
      </w:r>
      <w:r w:rsidR="00127E95">
        <w:rPr>
          <w:rFonts w:ascii="Times New Roman" w:hAnsi="Times New Roman" w:cs="Times New Roman"/>
          <w:noProof/>
          <w:lang w:val="en-GB" w:eastAsia="en-GB" w:bidi="ar-SA"/>
        </w:rPr>
        <w:drawing>
          <wp:anchor distT="0" distB="0" distL="114300" distR="114300" simplePos="0" relativeHeight="251661312" behindDoc="1" locked="0" layoutInCell="1" allowOverlap="1">
            <wp:simplePos x="0" y="0"/>
            <wp:positionH relativeFrom="column">
              <wp:posOffset>-135890</wp:posOffset>
            </wp:positionH>
            <wp:positionV relativeFrom="paragraph">
              <wp:posOffset>45720</wp:posOffset>
            </wp:positionV>
            <wp:extent cx="6212840" cy="3671570"/>
            <wp:effectExtent l="19050" t="0" r="0" b="0"/>
            <wp:wrapTight wrapText="bothSides">
              <wp:wrapPolygon edited="0">
                <wp:start x="-66" y="0"/>
                <wp:lineTo x="-66" y="21518"/>
                <wp:lineTo x="21591" y="21518"/>
                <wp:lineTo x="21591" y="0"/>
                <wp:lineTo x="-66" y="0"/>
              </wp:wrapPolygon>
            </wp:wrapTight>
            <wp:docPr id="1" name="Picture 0" descr="Population Dist of Troughs &amp; Peak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ulation Dist of Troughs &amp; Peaks.tif"/>
                    <pic:cNvPicPr/>
                  </pic:nvPicPr>
                  <pic:blipFill>
                    <a:blip r:embed="rId7" cstate="print"/>
                    <a:srcRect l="9670" r="8453"/>
                    <a:stretch>
                      <a:fillRect/>
                    </a:stretch>
                  </pic:blipFill>
                  <pic:spPr>
                    <a:xfrm>
                      <a:off x="0" y="0"/>
                      <a:ext cx="6212840" cy="3671570"/>
                    </a:xfrm>
                    <a:prstGeom prst="rect">
                      <a:avLst/>
                    </a:prstGeom>
                  </pic:spPr>
                </pic:pic>
              </a:graphicData>
            </a:graphic>
          </wp:anchor>
        </w:drawing>
      </w:r>
      <w:r w:rsidR="00CD6410">
        <w:rPr>
          <w:rFonts w:ascii="Times New Roman" w:hAnsi="Times New Roman" w:cs="Times New Roman"/>
        </w:rPr>
        <w:br w:type="page"/>
      </w:r>
      <w:r w:rsidR="00CD6410">
        <w:rPr>
          <w:rFonts w:ascii="Times New Roman" w:hAnsi="Times New Roman" w:cs="Times New Roman"/>
          <w:b/>
        </w:rPr>
        <w:lastRenderedPageBreak/>
        <w:t xml:space="preserve">Individual Variation in Modulation Rate </w:t>
      </w:r>
      <w:r w:rsidR="00CD6410" w:rsidRPr="00502BAD">
        <w:rPr>
          <w:rFonts w:ascii="Times New Roman" w:hAnsi="Times New Roman" w:cs="Times New Roman"/>
          <w:b/>
        </w:rPr>
        <w:t xml:space="preserve">PCA </w:t>
      </w:r>
      <w:r w:rsidR="00CD6410">
        <w:rPr>
          <w:rFonts w:ascii="Times New Roman" w:hAnsi="Times New Roman" w:cs="Times New Roman"/>
          <w:b/>
        </w:rPr>
        <w:t xml:space="preserve">Component Loadings </w:t>
      </w:r>
    </w:p>
    <w:p w:rsidR="009B0119" w:rsidRDefault="003045B3" w:rsidP="009B0119">
      <w:pPr>
        <w:rPr>
          <w:rFonts w:ascii="Times New Roman" w:hAnsi="Times New Roman" w:cs="Times New Roman"/>
          <w:noProof/>
          <w:lang w:val="en-GB" w:eastAsia="en-GB" w:bidi="ar-SA"/>
        </w:rPr>
      </w:pPr>
      <w:r>
        <w:rPr>
          <w:rFonts w:ascii="Times New Roman" w:hAnsi="Times New Roman" w:cs="Times New Roman"/>
          <w:noProof/>
          <w:lang w:val="en-GB" w:eastAsia="en-GB" w:bidi="ar-SA"/>
        </w:rPr>
        <w:pict>
          <v:shape id="_x0000_s1032" type="#_x0000_t202" style="position:absolute;left:0;text-align:left;margin-left:-5.55pt;margin-top:127.4pt;width:383.3pt;height:26pt;z-index:251663360" stroked="f">
            <v:textbox>
              <w:txbxContent>
                <w:p w:rsidR="00AC7CDD" w:rsidRPr="00956FDF" w:rsidRDefault="00AC7CDD" w:rsidP="00AC7CDD">
                  <w:pPr>
                    <w:rPr>
                      <w:rFonts w:ascii="Times New Roman" w:hAnsi="Times New Roman" w:cs="Times New Roman"/>
                      <w:i/>
                    </w:rPr>
                  </w:pPr>
                  <w:r>
                    <w:rPr>
                      <w:rFonts w:ascii="Times New Roman" w:hAnsi="Times New Roman" w:cs="Times New Roman"/>
                      <w:i/>
                    </w:rPr>
                    <w:t>Figure c</w:t>
                  </w:r>
                  <w:r w:rsidRPr="00956FDF">
                    <w:rPr>
                      <w:rFonts w:ascii="Times New Roman" w:hAnsi="Times New Roman" w:cs="Times New Roman"/>
                      <w:i/>
                    </w:rPr>
                    <w:t xml:space="preserve">. Individual </w:t>
                  </w:r>
                  <w:r>
                    <w:rPr>
                      <w:rFonts w:ascii="Times New Roman" w:hAnsi="Times New Roman" w:cs="Times New Roman"/>
                      <w:i/>
                    </w:rPr>
                    <w:t xml:space="preserve">modulation rate </w:t>
                  </w:r>
                  <w:r w:rsidRPr="00956FDF">
                    <w:rPr>
                      <w:rFonts w:ascii="Times New Roman" w:hAnsi="Times New Roman" w:cs="Times New Roman"/>
                      <w:i/>
                    </w:rPr>
                    <w:t>PCA component loading patterns</w:t>
                  </w:r>
                </w:p>
              </w:txbxContent>
            </v:textbox>
          </v:shape>
        </w:pict>
      </w:r>
      <w:r w:rsidR="00AC7CDD">
        <w:rPr>
          <w:rFonts w:ascii="Times New Roman" w:hAnsi="Times New Roman" w:cs="Times New Roman"/>
        </w:rPr>
        <w:t>F</w:t>
      </w:r>
      <w:r w:rsidR="00CE37EE">
        <w:rPr>
          <w:rFonts w:ascii="Times New Roman" w:hAnsi="Times New Roman" w:cs="Times New Roman"/>
        </w:rPr>
        <w:t>igure</w:t>
      </w:r>
      <w:r w:rsidR="00AC7CDD">
        <w:rPr>
          <w:rFonts w:ascii="Times New Roman" w:hAnsi="Times New Roman" w:cs="Times New Roman"/>
        </w:rPr>
        <w:t xml:space="preserve"> c </w:t>
      </w:r>
      <w:r w:rsidR="00CE37EE">
        <w:rPr>
          <w:rFonts w:ascii="Times New Roman" w:hAnsi="Times New Roman" w:cs="Times New Roman"/>
        </w:rPr>
        <w:t>below shows the modulation rate PCA component loading patterns for each individual speaker (P01 to P06). In each subplot, the lines of different thickness indicate different PCA components. More important (lower numbered) componen</w:t>
      </w:r>
      <w:r w:rsidR="001D57E8">
        <w:rPr>
          <w:rFonts w:ascii="Times New Roman" w:hAnsi="Times New Roman" w:cs="Times New Roman"/>
        </w:rPr>
        <w:t xml:space="preserve">ts are shown in a thicker line, and the components from the 5 spectral bands are plotted in different </w:t>
      </w:r>
      <w:proofErr w:type="spellStart"/>
      <w:r w:rsidR="001D57E8">
        <w:rPr>
          <w:rFonts w:ascii="Times New Roman" w:hAnsi="Times New Roman" w:cs="Times New Roman"/>
        </w:rPr>
        <w:t>colours</w:t>
      </w:r>
      <w:proofErr w:type="spellEnd"/>
      <w:r w:rsidR="001D57E8">
        <w:rPr>
          <w:rFonts w:ascii="Times New Roman" w:hAnsi="Times New Roman" w:cs="Times New Roman"/>
        </w:rPr>
        <w:t>.</w:t>
      </w:r>
      <w:r w:rsidR="009B0119">
        <w:rPr>
          <w:rFonts w:ascii="Times New Roman" w:hAnsi="Times New Roman" w:cs="Times New Roman"/>
        </w:rPr>
        <w:t xml:space="preserve"> </w:t>
      </w:r>
      <w:r w:rsidR="009B0119">
        <w:rPr>
          <w:rFonts w:ascii="Times New Roman" w:hAnsi="Times New Roman" w:cs="Times New Roman"/>
          <w:noProof/>
          <w:lang w:val="en-GB" w:eastAsia="en-GB" w:bidi="ar-SA"/>
        </w:rPr>
        <w:t xml:space="preserve">It may be observed that all 6 speakers showed broadly similar patterns of loading for PCA components 1, 2 and 3. </w:t>
      </w:r>
    </w:p>
    <w:p w:rsidR="006975A3" w:rsidRDefault="00CE37EE" w:rsidP="00554745">
      <w:pPr>
        <w:spacing w:after="0"/>
        <w:rPr>
          <w:rFonts w:ascii="Times New Roman" w:hAnsi="Times New Roman" w:cs="Times New Roman"/>
        </w:rPr>
      </w:pPr>
      <w:r>
        <w:rPr>
          <w:rFonts w:ascii="Times New Roman" w:hAnsi="Times New Roman" w:cs="Times New Roman"/>
          <w:noProof/>
          <w:lang w:val="en-GB" w:eastAsia="en-GB" w:bidi="ar-SA"/>
        </w:rPr>
        <w:drawing>
          <wp:inline distT="0" distB="0" distL="0" distR="0">
            <wp:extent cx="4067175" cy="1969294"/>
            <wp:effectExtent l="19050" t="0" r="9525" b="0"/>
            <wp:docPr id="3" name="Picture 2" descr="P01_RatePC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1_RatePCA.tif"/>
                    <pic:cNvPicPr/>
                  </pic:nvPicPr>
                  <pic:blipFill>
                    <a:blip r:embed="rId8" cstate="print"/>
                    <a:stretch>
                      <a:fillRect/>
                    </a:stretch>
                  </pic:blipFill>
                  <pic:spPr>
                    <a:xfrm>
                      <a:off x="0" y="0"/>
                      <a:ext cx="4067175" cy="1969294"/>
                    </a:xfrm>
                    <a:prstGeom prst="rect">
                      <a:avLst/>
                    </a:prstGeom>
                  </pic:spPr>
                </pic:pic>
              </a:graphicData>
            </a:graphic>
          </wp:inline>
        </w:drawing>
      </w:r>
      <w:r w:rsidR="009126DD">
        <w:rPr>
          <w:rFonts w:ascii="Times New Roman" w:hAnsi="Times New Roman" w:cs="Times New Roman"/>
          <w:noProof/>
          <w:lang w:val="en-GB" w:eastAsia="en-GB" w:bidi="ar-SA"/>
        </w:rPr>
        <w:t xml:space="preserve">         </w:t>
      </w:r>
      <w:r>
        <w:rPr>
          <w:rFonts w:ascii="Times New Roman" w:hAnsi="Times New Roman" w:cs="Times New Roman"/>
          <w:noProof/>
          <w:lang w:val="en-GB" w:eastAsia="en-GB" w:bidi="ar-SA"/>
        </w:rPr>
        <w:drawing>
          <wp:inline distT="0" distB="0" distL="0" distR="0">
            <wp:extent cx="4067175" cy="1969294"/>
            <wp:effectExtent l="19050" t="0" r="9525" b="0"/>
            <wp:docPr id="4" name="Picture 3" descr="P02_RatePC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2_RatePCA.tif"/>
                    <pic:cNvPicPr/>
                  </pic:nvPicPr>
                  <pic:blipFill>
                    <a:blip r:embed="rId9" cstate="print"/>
                    <a:stretch>
                      <a:fillRect/>
                    </a:stretch>
                  </pic:blipFill>
                  <pic:spPr>
                    <a:xfrm>
                      <a:off x="0" y="0"/>
                      <a:ext cx="4067175" cy="1969294"/>
                    </a:xfrm>
                    <a:prstGeom prst="rect">
                      <a:avLst/>
                    </a:prstGeom>
                  </pic:spPr>
                </pic:pic>
              </a:graphicData>
            </a:graphic>
          </wp:inline>
        </w:drawing>
      </w:r>
      <w:r w:rsidR="000A2D59">
        <w:rPr>
          <w:rFonts w:ascii="Times New Roman" w:hAnsi="Times New Roman" w:cs="Times New Roman"/>
          <w:noProof/>
          <w:lang w:val="en-GB" w:eastAsia="en-GB" w:bidi="ar-SA"/>
        </w:rPr>
        <w:drawing>
          <wp:inline distT="0" distB="0" distL="0" distR="0">
            <wp:extent cx="4067175" cy="1969294"/>
            <wp:effectExtent l="19050" t="0" r="9525" b="0"/>
            <wp:docPr id="9" name="Picture 4" descr="P03_RatePC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3_RatePCA.tif"/>
                    <pic:cNvPicPr/>
                  </pic:nvPicPr>
                  <pic:blipFill>
                    <a:blip r:embed="rId10" cstate="print"/>
                    <a:stretch>
                      <a:fillRect/>
                    </a:stretch>
                  </pic:blipFill>
                  <pic:spPr>
                    <a:xfrm>
                      <a:off x="0" y="0"/>
                      <a:ext cx="4067175" cy="1969294"/>
                    </a:xfrm>
                    <a:prstGeom prst="rect">
                      <a:avLst/>
                    </a:prstGeom>
                  </pic:spPr>
                </pic:pic>
              </a:graphicData>
            </a:graphic>
          </wp:inline>
        </w:drawing>
      </w:r>
    </w:p>
    <w:p w:rsidR="003A5D8A" w:rsidRPr="00DC6B12" w:rsidRDefault="000A2D59" w:rsidP="00DC6B12">
      <w:pPr>
        <w:jc w:val="left"/>
        <w:rPr>
          <w:rFonts w:ascii="Times New Roman" w:hAnsi="Times New Roman" w:cs="Times New Roman"/>
          <w:noProof/>
          <w:lang w:val="en-GB" w:eastAsia="en-GB" w:bidi="ar-SA"/>
        </w:rPr>
      </w:pPr>
      <w:r>
        <w:rPr>
          <w:rFonts w:ascii="Times New Roman" w:hAnsi="Times New Roman" w:cs="Times New Roman"/>
          <w:noProof/>
          <w:lang w:val="en-GB" w:eastAsia="en-GB" w:bidi="ar-SA"/>
        </w:rPr>
        <w:lastRenderedPageBreak/>
        <w:drawing>
          <wp:inline distT="0" distB="0" distL="0" distR="0">
            <wp:extent cx="4067175" cy="1969294"/>
            <wp:effectExtent l="19050" t="0" r="9525" b="0"/>
            <wp:docPr id="11" name="Picture 5" descr="P04_RatePC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4_RatePCA.tif"/>
                    <pic:cNvPicPr/>
                  </pic:nvPicPr>
                  <pic:blipFill>
                    <a:blip r:embed="rId11" cstate="print"/>
                    <a:stretch>
                      <a:fillRect/>
                    </a:stretch>
                  </pic:blipFill>
                  <pic:spPr>
                    <a:xfrm>
                      <a:off x="0" y="0"/>
                      <a:ext cx="4067175" cy="1969294"/>
                    </a:xfrm>
                    <a:prstGeom prst="rect">
                      <a:avLst/>
                    </a:prstGeom>
                  </pic:spPr>
                </pic:pic>
              </a:graphicData>
            </a:graphic>
          </wp:inline>
        </w:drawing>
      </w:r>
      <w:r w:rsidR="004357F6">
        <w:rPr>
          <w:rFonts w:ascii="Times New Roman" w:hAnsi="Times New Roman" w:cs="Times New Roman"/>
          <w:noProof/>
          <w:lang w:val="en-GB" w:eastAsia="en-GB" w:bidi="ar-SA"/>
        </w:rPr>
        <w:t xml:space="preserve">     </w:t>
      </w:r>
      <w:r>
        <w:rPr>
          <w:rFonts w:ascii="Times New Roman" w:hAnsi="Times New Roman" w:cs="Times New Roman"/>
          <w:noProof/>
          <w:lang w:val="en-GB" w:eastAsia="en-GB" w:bidi="ar-SA"/>
        </w:rPr>
        <w:t xml:space="preserve"> </w:t>
      </w:r>
      <w:r w:rsidR="00CE37EE">
        <w:rPr>
          <w:rFonts w:ascii="Times New Roman" w:hAnsi="Times New Roman" w:cs="Times New Roman"/>
          <w:noProof/>
          <w:lang w:val="en-GB" w:eastAsia="en-GB" w:bidi="ar-SA"/>
        </w:rPr>
        <w:drawing>
          <wp:inline distT="0" distB="0" distL="0" distR="0">
            <wp:extent cx="4067175" cy="1969294"/>
            <wp:effectExtent l="19050" t="0" r="9525" b="0"/>
            <wp:docPr id="7" name="Picture 6" descr="P05_RatePC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5_RatePCA.tif"/>
                    <pic:cNvPicPr/>
                  </pic:nvPicPr>
                  <pic:blipFill>
                    <a:blip r:embed="rId12" cstate="print"/>
                    <a:stretch>
                      <a:fillRect/>
                    </a:stretch>
                  </pic:blipFill>
                  <pic:spPr>
                    <a:xfrm>
                      <a:off x="0" y="0"/>
                      <a:ext cx="4067175" cy="1969294"/>
                    </a:xfrm>
                    <a:prstGeom prst="rect">
                      <a:avLst/>
                    </a:prstGeom>
                  </pic:spPr>
                </pic:pic>
              </a:graphicData>
            </a:graphic>
          </wp:inline>
        </w:drawing>
      </w:r>
      <w:r w:rsidR="004357F6">
        <w:rPr>
          <w:rFonts w:ascii="Times New Roman" w:hAnsi="Times New Roman" w:cs="Times New Roman"/>
          <w:noProof/>
          <w:lang w:val="en-GB" w:eastAsia="en-GB" w:bidi="ar-SA"/>
        </w:rPr>
        <w:t xml:space="preserve">       </w:t>
      </w:r>
      <w:r w:rsidR="009126DD">
        <w:rPr>
          <w:rFonts w:ascii="Times New Roman" w:hAnsi="Times New Roman" w:cs="Times New Roman"/>
          <w:noProof/>
          <w:lang w:val="en-GB" w:eastAsia="en-GB" w:bidi="ar-SA"/>
        </w:rPr>
        <w:t xml:space="preserve"> </w:t>
      </w:r>
      <w:r w:rsidR="00CE37EE">
        <w:rPr>
          <w:rFonts w:ascii="Times New Roman" w:hAnsi="Times New Roman" w:cs="Times New Roman"/>
          <w:noProof/>
          <w:lang w:val="en-GB" w:eastAsia="en-GB" w:bidi="ar-SA"/>
        </w:rPr>
        <w:drawing>
          <wp:inline distT="0" distB="0" distL="0" distR="0">
            <wp:extent cx="4067175" cy="1969294"/>
            <wp:effectExtent l="19050" t="0" r="9525" b="0"/>
            <wp:docPr id="8" name="Picture 7" descr="P06_RatePC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6_RatePCA.tif"/>
                    <pic:cNvPicPr/>
                  </pic:nvPicPr>
                  <pic:blipFill>
                    <a:blip r:embed="rId13" cstate="print"/>
                    <a:stretch>
                      <a:fillRect/>
                    </a:stretch>
                  </pic:blipFill>
                  <pic:spPr>
                    <a:xfrm>
                      <a:off x="0" y="0"/>
                      <a:ext cx="4067175" cy="1969294"/>
                    </a:xfrm>
                    <a:prstGeom prst="rect">
                      <a:avLst/>
                    </a:prstGeom>
                  </pic:spPr>
                </pic:pic>
              </a:graphicData>
            </a:graphic>
          </wp:inline>
        </w:drawing>
      </w:r>
    </w:p>
    <w:p w:rsidR="00DC6B12" w:rsidRDefault="00DC6B12">
      <w:pPr>
        <w:spacing w:line="276" w:lineRule="auto"/>
        <w:jc w:val="left"/>
        <w:rPr>
          <w:rFonts w:ascii="Times New Roman" w:hAnsi="Times New Roman" w:cs="Times New Roman"/>
          <w:color w:val="FF0000"/>
        </w:rPr>
      </w:pPr>
      <w:r>
        <w:rPr>
          <w:rFonts w:ascii="Times New Roman" w:hAnsi="Times New Roman" w:cs="Times New Roman"/>
          <w:color w:val="FF0000"/>
        </w:rPr>
        <w:br w:type="page"/>
      </w:r>
    </w:p>
    <w:p w:rsidR="0066436B" w:rsidRPr="00DC6B12" w:rsidRDefault="00AC7CDD" w:rsidP="00F7184F">
      <w:pPr>
        <w:rPr>
          <w:rFonts w:ascii="Times New Roman" w:hAnsi="Times New Roman" w:cs="Times New Roman"/>
          <w:color w:val="FF0000"/>
        </w:rPr>
      </w:pPr>
      <w:r w:rsidRPr="00F7184F">
        <w:rPr>
          <w:rFonts w:ascii="Times New Roman" w:hAnsi="Times New Roman" w:cs="Times New Roman"/>
        </w:rPr>
        <w:lastRenderedPageBreak/>
        <w:t>The population distribution of peaks and troughs across the 6 speakers for each principal component is shown in Figure d</w:t>
      </w:r>
      <w:r w:rsidR="002D2221" w:rsidRPr="00F7184F">
        <w:rPr>
          <w:rFonts w:ascii="Times New Roman" w:hAnsi="Times New Roman" w:cs="Times New Roman"/>
        </w:rPr>
        <w:t xml:space="preserve">. </w:t>
      </w:r>
      <w:r w:rsidR="00DC6B12" w:rsidRPr="00F7184F">
        <w:rPr>
          <w:rFonts w:ascii="Times New Roman" w:hAnsi="Times New Roman" w:cs="Times New Roman"/>
        </w:rPr>
        <w:t xml:space="preserve">For each speaker's subplot, </w:t>
      </w:r>
      <w:r w:rsidRPr="00F7184F">
        <w:rPr>
          <w:rFonts w:ascii="Times New Roman" w:hAnsi="Times New Roman" w:cs="Times New Roman"/>
        </w:rPr>
        <w:t xml:space="preserve">the x-axis indicates the </w:t>
      </w:r>
      <w:r w:rsidR="002D2221" w:rsidRPr="00F7184F">
        <w:rPr>
          <w:rFonts w:ascii="Times New Roman" w:hAnsi="Times New Roman" w:cs="Times New Roman"/>
        </w:rPr>
        <w:t xml:space="preserve">modulation rate </w:t>
      </w:r>
      <w:r w:rsidRPr="00F7184F">
        <w:rPr>
          <w:rFonts w:ascii="Times New Roman" w:hAnsi="Times New Roman" w:cs="Times New Roman"/>
        </w:rPr>
        <w:t xml:space="preserve">centre frequency, the y-axis indicates the frequency with which a peak or trough was identified at that </w:t>
      </w:r>
      <w:r w:rsidR="002D2221" w:rsidRPr="00F7184F">
        <w:rPr>
          <w:rFonts w:ascii="Times New Roman" w:hAnsi="Times New Roman" w:cs="Times New Roman"/>
        </w:rPr>
        <w:t>rate</w:t>
      </w:r>
      <w:r w:rsidRPr="00F7184F">
        <w:rPr>
          <w:rFonts w:ascii="Times New Roman" w:hAnsi="Times New Roman" w:cs="Times New Roman"/>
        </w:rPr>
        <w:t xml:space="preserve">, and the different </w:t>
      </w:r>
      <w:proofErr w:type="spellStart"/>
      <w:r w:rsidRPr="00F7184F">
        <w:rPr>
          <w:rFonts w:ascii="Times New Roman" w:hAnsi="Times New Roman" w:cs="Times New Roman"/>
        </w:rPr>
        <w:t>co</w:t>
      </w:r>
      <w:r w:rsidR="002D2221" w:rsidRPr="00F7184F">
        <w:rPr>
          <w:rFonts w:ascii="Times New Roman" w:hAnsi="Times New Roman" w:cs="Times New Roman"/>
        </w:rPr>
        <w:t>loured</w:t>
      </w:r>
      <w:proofErr w:type="spellEnd"/>
      <w:r w:rsidR="002D2221" w:rsidRPr="00F7184F">
        <w:rPr>
          <w:rFonts w:ascii="Times New Roman" w:hAnsi="Times New Roman" w:cs="Times New Roman"/>
        </w:rPr>
        <w:t xml:space="preserve"> bars indicate the first 3</w:t>
      </w:r>
      <w:r w:rsidRPr="00F7184F">
        <w:rPr>
          <w:rFonts w:ascii="Times New Roman" w:hAnsi="Times New Roman" w:cs="Times New Roman"/>
        </w:rPr>
        <w:t xml:space="preserve"> principle components</w:t>
      </w:r>
      <w:r w:rsidR="00F7184F" w:rsidRPr="00F7184F">
        <w:rPr>
          <w:rFonts w:ascii="Times New Roman" w:hAnsi="Times New Roman" w:cs="Times New Roman"/>
        </w:rPr>
        <w:t>. The population distribution of peaks (bottom panel) indicated that there was a</w:t>
      </w:r>
      <w:r w:rsidR="00F7184F">
        <w:rPr>
          <w:rFonts w:ascii="Times New Roman" w:hAnsi="Times New Roman" w:cs="Times New Roman"/>
          <w:color w:val="FF0000"/>
        </w:rPr>
        <w:t xml:space="preserve"> </w:t>
      </w:r>
      <w:r w:rsidR="00F7184F">
        <w:rPr>
          <w:rFonts w:ascii="Times New Roman" w:hAnsi="Times New Roman" w:cs="Times New Roman"/>
        </w:rPr>
        <w:t>clear clustering of peaks in 3 regions (~1.4 Hz, between 3.5 Hz-6 Hz, and between 27-31 Hz) which corresponded well to the existence of 3 AM bands (Stress, Syllable and Phoneme) in these respective regions. Correspondingly, t</w:t>
      </w:r>
      <w:r w:rsidR="0066436B">
        <w:rPr>
          <w:rFonts w:ascii="Times New Roman" w:hAnsi="Times New Roman" w:cs="Times New Roman"/>
        </w:rPr>
        <w:t xml:space="preserve">he population distribution of trough </w:t>
      </w:r>
      <w:r w:rsidR="004E0026">
        <w:rPr>
          <w:rFonts w:ascii="Times New Roman" w:hAnsi="Times New Roman" w:cs="Times New Roman"/>
        </w:rPr>
        <w:t>locations (top panel of Figure d) indicates there was a highly consistent appearance of a trough at ~12-14 Hz,</w:t>
      </w:r>
      <w:r w:rsidR="00F7184F">
        <w:rPr>
          <w:rFonts w:ascii="Times New Roman" w:hAnsi="Times New Roman" w:cs="Times New Roman"/>
        </w:rPr>
        <w:t xml:space="preserve"> carried entirely by PC3, and </w:t>
      </w:r>
      <w:r w:rsidR="004E0026">
        <w:rPr>
          <w:rFonts w:ascii="Times New Roman" w:hAnsi="Times New Roman" w:cs="Times New Roman"/>
        </w:rPr>
        <w:t>corresponding to the division between Syllable AM and Phoneme</w:t>
      </w:r>
      <w:r w:rsidR="00F7184F">
        <w:rPr>
          <w:rFonts w:ascii="Times New Roman" w:hAnsi="Times New Roman" w:cs="Times New Roman"/>
        </w:rPr>
        <w:t>/Onset-Rime</w:t>
      </w:r>
      <w:r w:rsidR="004E0026">
        <w:rPr>
          <w:rFonts w:ascii="Times New Roman" w:hAnsi="Times New Roman" w:cs="Times New Roman"/>
        </w:rPr>
        <w:t xml:space="preserve"> AM rate bands in the S-AMPH model.</w:t>
      </w:r>
      <w:r w:rsidR="00F7184F">
        <w:rPr>
          <w:rFonts w:ascii="Times New Roman" w:hAnsi="Times New Roman" w:cs="Times New Roman"/>
        </w:rPr>
        <w:t xml:space="preserve"> In the low frequency region, there was also a strong tendency for troughs to appear within a fairly broad range of 1.2-3 Hz (particularly carried by PCs 1 &amp; 2) suggesting the existence of the Stress AM-Syllable AM band division in this region. However, this Stress AM-Syllable AM band division was less well-defined and more variable across speakers than the Syllable AM-Phoneme AM division. </w:t>
      </w:r>
    </w:p>
    <w:p w:rsidR="0066436B" w:rsidRPr="0065307F" w:rsidRDefault="003045B3">
      <w:pPr>
        <w:rPr>
          <w:rFonts w:ascii="Times New Roman" w:hAnsi="Times New Roman" w:cs="Times New Roman"/>
          <w:color w:val="FF0000"/>
        </w:rPr>
      </w:pPr>
      <w:r w:rsidRPr="003045B3">
        <w:rPr>
          <w:rFonts w:ascii="Times New Roman" w:hAnsi="Times New Roman" w:cs="Times New Roman"/>
          <w:noProof/>
          <w:lang w:val="en-GB" w:eastAsia="en-GB" w:bidi="ar-SA"/>
        </w:rPr>
        <w:pict>
          <v:shape id="_x0000_s1033" type="#_x0000_t202" style="position:absolute;left:0;text-align:left;margin-left:1.35pt;margin-top:264.75pt;width:462.05pt;height:59.3pt;z-index:251664384" stroked="f">
            <v:textbox style="mso-next-textbox:#_x0000_s1033">
              <w:txbxContent>
                <w:p w:rsidR="002D2221" w:rsidRPr="00956FDF" w:rsidRDefault="002D2221" w:rsidP="002D2221">
                  <w:pPr>
                    <w:rPr>
                      <w:rFonts w:ascii="Times New Roman" w:hAnsi="Times New Roman" w:cs="Times New Roman"/>
                      <w:i/>
                    </w:rPr>
                  </w:pPr>
                  <w:r w:rsidRPr="00956FDF">
                    <w:rPr>
                      <w:rFonts w:ascii="Times New Roman" w:hAnsi="Times New Roman" w:cs="Times New Roman"/>
                      <w:i/>
                    </w:rPr>
                    <w:t xml:space="preserve">Figure </w:t>
                  </w:r>
                  <w:r>
                    <w:rPr>
                      <w:rFonts w:ascii="Times New Roman" w:hAnsi="Times New Roman" w:cs="Times New Roman"/>
                      <w:i/>
                    </w:rPr>
                    <w:t>d</w:t>
                  </w:r>
                  <w:r w:rsidRPr="00956FDF">
                    <w:rPr>
                      <w:rFonts w:ascii="Times New Roman" w:hAnsi="Times New Roman" w:cs="Times New Roman"/>
                      <w:i/>
                    </w:rPr>
                    <w:t xml:space="preserve">. </w:t>
                  </w:r>
                  <w:r>
                    <w:rPr>
                      <w:rFonts w:ascii="Times New Roman" w:hAnsi="Times New Roman" w:cs="Times New Roman"/>
                      <w:i/>
                    </w:rPr>
                    <w:t>Population distribution of trough locations (top) and peak locations (bottom) for modulation rate PCA</w:t>
                  </w:r>
                </w:p>
              </w:txbxContent>
            </v:textbox>
          </v:shape>
        </w:pict>
      </w:r>
      <w:r w:rsidR="00F7184F">
        <w:rPr>
          <w:rFonts w:ascii="Times New Roman" w:hAnsi="Times New Roman" w:cs="Times New Roman"/>
          <w:noProof/>
          <w:lang w:val="en-GB" w:eastAsia="en-GB" w:bidi="ar-SA"/>
        </w:rPr>
        <w:drawing>
          <wp:inline distT="0" distB="0" distL="0" distR="0">
            <wp:extent cx="5935183" cy="3408461"/>
            <wp:effectExtent l="19050" t="0" r="8417" b="0"/>
            <wp:docPr id="10" name="Picture 9" descr="Trough Distribution_RatePC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ugh Distribution_RatePCA.tif"/>
                    <pic:cNvPicPr/>
                  </pic:nvPicPr>
                  <pic:blipFill>
                    <a:blip r:embed="rId14" cstate="print"/>
                    <a:srcRect l="8275" r="7583"/>
                    <a:stretch>
                      <a:fillRect/>
                    </a:stretch>
                  </pic:blipFill>
                  <pic:spPr>
                    <a:xfrm>
                      <a:off x="0" y="0"/>
                      <a:ext cx="5934863" cy="3408277"/>
                    </a:xfrm>
                    <a:prstGeom prst="rect">
                      <a:avLst/>
                    </a:prstGeom>
                  </pic:spPr>
                </pic:pic>
              </a:graphicData>
            </a:graphic>
          </wp:inline>
        </w:drawing>
      </w:r>
    </w:p>
    <w:sectPr w:rsidR="0066436B" w:rsidRPr="0065307F" w:rsidSect="00127E95">
      <w:headerReference w:type="default"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7AC6" w:rsidRDefault="00567AC6" w:rsidP="00502BAD">
      <w:pPr>
        <w:spacing w:after="0" w:line="240" w:lineRule="auto"/>
      </w:pPr>
      <w:r>
        <w:separator/>
      </w:r>
    </w:p>
  </w:endnote>
  <w:endnote w:type="continuationSeparator" w:id="0">
    <w:p w:rsidR="00567AC6" w:rsidRDefault="00567AC6" w:rsidP="00502B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93347"/>
      <w:docPartObj>
        <w:docPartGallery w:val="Page Numbers (Bottom of Page)"/>
        <w:docPartUnique/>
      </w:docPartObj>
    </w:sdtPr>
    <w:sdtContent>
      <w:sdt>
        <w:sdtPr>
          <w:id w:val="98381352"/>
          <w:docPartObj>
            <w:docPartGallery w:val="Page Numbers (Top of Page)"/>
            <w:docPartUnique/>
          </w:docPartObj>
        </w:sdtPr>
        <w:sdtContent>
          <w:p w:rsidR="00C0082D" w:rsidRPr="00474338" w:rsidRDefault="00C0082D">
            <w:pPr>
              <w:pStyle w:val="Footer"/>
              <w:rPr>
                <w:rFonts w:ascii="Times New Roman" w:hAnsi="Times New Roman" w:cs="Times New Roman"/>
                <w:b/>
                <w:szCs w:val="24"/>
              </w:rPr>
            </w:pPr>
            <w:r w:rsidRPr="00FE476B">
              <w:rPr>
                <w:rFonts w:ascii="Times New Roman" w:hAnsi="Times New Roman" w:cs="Times New Roman"/>
              </w:rPr>
              <w:t xml:space="preserve">Page </w:t>
            </w:r>
            <w:r w:rsidR="003045B3" w:rsidRPr="00FE476B">
              <w:rPr>
                <w:rFonts w:ascii="Times New Roman" w:hAnsi="Times New Roman" w:cs="Times New Roman"/>
                <w:b/>
                <w:szCs w:val="24"/>
              </w:rPr>
              <w:fldChar w:fldCharType="begin"/>
            </w:r>
            <w:r w:rsidRPr="00FE476B">
              <w:rPr>
                <w:rFonts w:ascii="Times New Roman" w:hAnsi="Times New Roman" w:cs="Times New Roman"/>
                <w:b/>
              </w:rPr>
              <w:instrText xml:space="preserve"> PAGE </w:instrText>
            </w:r>
            <w:r w:rsidR="003045B3" w:rsidRPr="00FE476B">
              <w:rPr>
                <w:rFonts w:ascii="Times New Roman" w:hAnsi="Times New Roman" w:cs="Times New Roman"/>
                <w:b/>
                <w:szCs w:val="24"/>
              </w:rPr>
              <w:fldChar w:fldCharType="separate"/>
            </w:r>
            <w:r w:rsidR="00A71A92">
              <w:rPr>
                <w:rFonts w:ascii="Times New Roman" w:hAnsi="Times New Roman" w:cs="Times New Roman"/>
                <w:b/>
                <w:noProof/>
              </w:rPr>
              <w:t>5</w:t>
            </w:r>
            <w:r w:rsidR="003045B3" w:rsidRPr="00FE476B">
              <w:rPr>
                <w:rFonts w:ascii="Times New Roman" w:hAnsi="Times New Roman" w:cs="Times New Roman"/>
                <w:b/>
                <w:szCs w:val="24"/>
              </w:rPr>
              <w:fldChar w:fldCharType="end"/>
            </w:r>
            <w:r w:rsidRPr="00FE476B">
              <w:rPr>
                <w:rFonts w:ascii="Times New Roman" w:hAnsi="Times New Roman" w:cs="Times New Roman"/>
              </w:rPr>
              <w:t xml:space="preserve"> of </w:t>
            </w:r>
            <w:r>
              <w:rPr>
                <w:rFonts w:ascii="Times New Roman" w:hAnsi="Times New Roman" w:cs="Times New Roman"/>
                <w:b/>
                <w:szCs w:val="24"/>
              </w:rPr>
              <w:t>2</w:t>
            </w:r>
          </w:p>
        </w:sdtContent>
      </w:sdt>
    </w:sdtContent>
  </w:sdt>
  <w:p w:rsidR="00C0082D" w:rsidRPr="00FE476B" w:rsidRDefault="00C0082D">
    <w:pPr>
      <w:pStyle w:val="Footer"/>
      <w:rPr>
        <w:rFonts w:ascii="Times New Roman" w:hAnsi="Times New Roman" w:cs="Times New Roman"/>
        <w:u w:val="single"/>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u w:val="single"/>
      </w:rPr>
      <w:t>Appendix 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7AC6" w:rsidRDefault="00567AC6" w:rsidP="00502BAD">
      <w:pPr>
        <w:spacing w:after="0" w:line="240" w:lineRule="auto"/>
      </w:pPr>
      <w:r>
        <w:separator/>
      </w:r>
    </w:p>
  </w:footnote>
  <w:footnote w:type="continuationSeparator" w:id="0">
    <w:p w:rsidR="00567AC6" w:rsidRDefault="00567AC6" w:rsidP="00502BA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1A92" w:rsidRPr="00A71A92" w:rsidRDefault="00A71A92" w:rsidP="00A71A92">
    <w:pPr>
      <w:pStyle w:val="Header"/>
      <w:jc w:val="right"/>
      <w:rPr>
        <w:rFonts w:ascii="Times New Roman" w:hAnsi="Times New Roman" w:cs="Times New Roman"/>
        <w:u w:val="single"/>
      </w:rPr>
    </w:pPr>
    <w:r w:rsidRPr="00A71A92">
      <w:rPr>
        <w:rFonts w:ascii="Times New Roman" w:hAnsi="Times New Roman" w:cs="Times New Roman"/>
        <w:u w:val="single"/>
      </w:rPr>
      <w:t>S3 Appendix</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232067"/>
    <w:rsid w:val="0001059C"/>
    <w:rsid w:val="00013BC0"/>
    <w:rsid w:val="0002038B"/>
    <w:rsid w:val="00023A8E"/>
    <w:rsid w:val="000768EB"/>
    <w:rsid w:val="00096185"/>
    <w:rsid w:val="000A2D59"/>
    <w:rsid w:val="000F730E"/>
    <w:rsid w:val="001035C7"/>
    <w:rsid w:val="00117177"/>
    <w:rsid w:val="00124B9D"/>
    <w:rsid w:val="00127E95"/>
    <w:rsid w:val="001646C0"/>
    <w:rsid w:val="001B6FAD"/>
    <w:rsid w:val="001C176C"/>
    <w:rsid w:val="001D57E8"/>
    <w:rsid w:val="001F4994"/>
    <w:rsid w:val="00200F1A"/>
    <w:rsid w:val="002104AE"/>
    <w:rsid w:val="00232067"/>
    <w:rsid w:val="002374C6"/>
    <w:rsid w:val="00243E0B"/>
    <w:rsid w:val="00251FA6"/>
    <w:rsid w:val="00253E27"/>
    <w:rsid w:val="0027015E"/>
    <w:rsid w:val="00272231"/>
    <w:rsid w:val="0029304F"/>
    <w:rsid w:val="002C0AF4"/>
    <w:rsid w:val="002D2221"/>
    <w:rsid w:val="003045B3"/>
    <w:rsid w:val="00320535"/>
    <w:rsid w:val="003302E5"/>
    <w:rsid w:val="00340871"/>
    <w:rsid w:val="003463A8"/>
    <w:rsid w:val="0034745D"/>
    <w:rsid w:val="00384332"/>
    <w:rsid w:val="00394BFA"/>
    <w:rsid w:val="003A5D8A"/>
    <w:rsid w:val="003D0DE5"/>
    <w:rsid w:val="003D48C6"/>
    <w:rsid w:val="003E18FB"/>
    <w:rsid w:val="004044F8"/>
    <w:rsid w:val="004357F6"/>
    <w:rsid w:val="004361D6"/>
    <w:rsid w:val="00437133"/>
    <w:rsid w:val="00444739"/>
    <w:rsid w:val="00474338"/>
    <w:rsid w:val="00492371"/>
    <w:rsid w:val="00497A19"/>
    <w:rsid w:val="004E0026"/>
    <w:rsid w:val="00502BAD"/>
    <w:rsid w:val="0051688A"/>
    <w:rsid w:val="00534C08"/>
    <w:rsid w:val="00536E22"/>
    <w:rsid w:val="0054674B"/>
    <w:rsid w:val="00554745"/>
    <w:rsid w:val="00567AC6"/>
    <w:rsid w:val="005739E4"/>
    <w:rsid w:val="0057474F"/>
    <w:rsid w:val="0057572E"/>
    <w:rsid w:val="005B5C76"/>
    <w:rsid w:val="005C691C"/>
    <w:rsid w:val="005D14AB"/>
    <w:rsid w:val="005F01CF"/>
    <w:rsid w:val="005F6C75"/>
    <w:rsid w:val="0060550F"/>
    <w:rsid w:val="006309CE"/>
    <w:rsid w:val="00631216"/>
    <w:rsid w:val="006433C0"/>
    <w:rsid w:val="0064560E"/>
    <w:rsid w:val="0064688F"/>
    <w:rsid w:val="0065307F"/>
    <w:rsid w:val="00653615"/>
    <w:rsid w:val="0066436B"/>
    <w:rsid w:val="0068009E"/>
    <w:rsid w:val="00683E3C"/>
    <w:rsid w:val="006975A3"/>
    <w:rsid w:val="006B45B1"/>
    <w:rsid w:val="006D3214"/>
    <w:rsid w:val="006E1B8E"/>
    <w:rsid w:val="007047F6"/>
    <w:rsid w:val="0072422E"/>
    <w:rsid w:val="0074091F"/>
    <w:rsid w:val="007416DF"/>
    <w:rsid w:val="007420B5"/>
    <w:rsid w:val="00751F56"/>
    <w:rsid w:val="0075411F"/>
    <w:rsid w:val="0076570F"/>
    <w:rsid w:val="00771F39"/>
    <w:rsid w:val="00774F9A"/>
    <w:rsid w:val="00775C0D"/>
    <w:rsid w:val="00782A99"/>
    <w:rsid w:val="0079128A"/>
    <w:rsid w:val="007B04F6"/>
    <w:rsid w:val="007E4391"/>
    <w:rsid w:val="0080181C"/>
    <w:rsid w:val="00804CDA"/>
    <w:rsid w:val="0081444F"/>
    <w:rsid w:val="00845877"/>
    <w:rsid w:val="0087395A"/>
    <w:rsid w:val="009126DD"/>
    <w:rsid w:val="00913C7F"/>
    <w:rsid w:val="00921745"/>
    <w:rsid w:val="00951DCD"/>
    <w:rsid w:val="00956FDF"/>
    <w:rsid w:val="009621A5"/>
    <w:rsid w:val="009754E8"/>
    <w:rsid w:val="00975F3C"/>
    <w:rsid w:val="00986ABE"/>
    <w:rsid w:val="009B0119"/>
    <w:rsid w:val="009E300B"/>
    <w:rsid w:val="00A225E9"/>
    <w:rsid w:val="00A340C0"/>
    <w:rsid w:val="00A71A92"/>
    <w:rsid w:val="00A907CF"/>
    <w:rsid w:val="00AC204E"/>
    <w:rsid w:val="00AC7CDD"/>
    <w:rsid w:val="00AD6A11"/>
    <w:rsid w:val="00AD726C"/>
    <w:rsid w:val="00B078B1"/>
    <w:rsid w:val="00B247B5"/>
    <w:rsid w:val="00B32923"/>
    <w:rsid w:val="00B511A4"/>
    <w:rsid w:val="00B9262E"/>
    <w:rsid w:val="00BC022D"/>
    <w:rsid w:val="00BD132F"/>
    <w:rsid w:val="00BD1B9A"/>
    <w:rsid w:val="00C0082D"/>
    <w:rsid w:val="00C376A9"/>
    <w:rsid w:val="00C6535F"/>
    <w:rsid w:val="00C90C7B"/>
    <w:rsid w:val="00C95328"/>
    <w:rsid w:val="00CB4EA0"/>
    <w:rsid w:val="00CD0F45"/>
    <w:rsid w:val="00CD6410"/>
    <w:rsid w:val="00CE37EE"/>
    <w:rsid w:val="00D1055C"/>
    <w:rsid w:val="00D26E11"/>
    <w:rsid w:val="00D74C75"/>
    <w:rsid w:val="00DA25F3"/>
    <w:rsid w:val="00DC6B12"/>
    <w:rsid w:val="00DC7A51"/>
    <w:rsid w:val="00DD52D8"/>
    <w:rsid w:val="00E436F4"/>
    <w:rsid w:val="00E75CFB"/>
    <w:rsid w:val="00E9070B"/>
    <w:rsid w:val="00E94743"/>
    <w:rsid w:val="00EA252C"/>
    <w:rsid w:val="00EA509C"/>
    <w:rsid w:val="00EC2A04"/>
    <w:rsid w:val="00ED3D4A"/>
    <w:rsid w:val="00EF0C44"/>
    <w:rsid w:val="00EF6103"/>
    <w:rsid w:val="00F26944"/>
    <w:rsid w:val="00F4072D"/>
    <w:rsid w:val="00F7184F"/>
    <w:rsid w:val="00F75ED3"/>
    <w:rsid w:val="00FB1A7E"/>
    <w:rsid w:val="00FC0EF0"/>
    <w:rsid w:val="00FE476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09C"/>
    <w:pPr>
      <w:spacing w:line="360" w:lineRule="auto"/>
      <w:jc w:val="both"/>
    </w:pPr>
    <w:rPr>
      <w:rFonts w:eastAsiaTheme="minorEastAsia"/>
      <w:sz w:val="24"/>
      <w:szCs w:val="20"/>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Quote">
    <w:name w:val="Quote"/>
    <w:basedOn w:val="Normal"/>
    <w:next w:val="Normal"/>
    <w:link w:val="QuoteChar"/>
    <w:autoRedefine/>
    <w:uiPriority w:val="29"/>
    <w:qFormat/>
    <w:rsid w:val="00EA509C"/>
    <w:rPr>
      <w:rFonts w:eastAsiaTheme="minorHAnsi"/>
      <w:i/>
      <w:szCs w:val="22"/>
      <w:lang w:val="en-GB" w:bidi="ar-SA"/>
    </w:rPr>
  </w:style>
  <w:style w:type="character" w:customStyle="1" w:styleId="QuoteChar">
    <w:name w:val="Quote Char"/>
    <w:basedOn w:val="DefaultParagraphFont"/>
    <w:link w:val="Quote"/>
    <w:uiPriority w:val="29"/>
    <w:rsid w:val="00EA509C"/>
    <w:rPr>
      <w:i/>
      <w:sz w:val="24"/>
    </w:rPr>
  </w:style>
  <w:style w:type="paragraph" w:styleId="BalloonText">
    <w:name w:val="Balloon Text"/>
    <w:basedOn w:val="Normal"/>
    <w:link w:val="BalloonTextChar"/>
    <w:uiPriority w:val="99"/>
    <w:semiHidden/>
    <w:unhideWhenUsed/>
    <w:rsid w:val="002320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2067"/>
    <w:rPr>
      <w:rFonts w:ascii="Tahoma" w:eastAsiaTheme="minorEastAsia" w:hAnsi="Tahoma" w:cs="Tahoma"/>
      <w:sz w:val="16"/>
      <w:szCs w:val="16"/>
      <w:lang w:val="en-US" w:bidi="en-US"/>
    </w:rPr>
  </w:style>
  <w:style w:type="paragraph" w:styleId="Header">
    <w:name w:val="header"/>
    <w:basedOn w:val="Normal"/>
    <w:link w:val="HeaderChar"/>
    <w:uiPriority w:val="99"/>
    <w:semiHidden/>
    <w:unhideWhenUsed/>
    <w:rsid w:val="00502BA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02BAD"/>
    <w:rPr>
      <w:rFonts w:eastAsiaTheme="minorEastAsia"/>
      <w:sz w:val="24"/>
      <w:szCs w:val="20"/>
      <w:lang w:val="en-US" w:bidi="en-US"/>
    </w:rPr>
  </w:style>
  <w:style w:type="paragraph" w:styleId="Footer">
    <w:name w:val="footer"/>
    <w:basedOn w:val="Normal"/>
    <w:link w:val="FooterChar"/>
    <w:uiPriority w:val="99"/>
    <w:unhideWhenUsed/>
    <w:rsid w:val="00502B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2BAD"/>
    <w:rPr>
      <w:rFonts w:eastAsiaTheme="minorEastAsia"/>
      <w:sz w:val="24"/>
      <w:szCs w:val="20"/>
      <w:lang w:val="en-US" w:bidi="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image" Target="media/image7.tif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tiff"/><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image" Target="media/image9.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5</Pages>
  <Words>621</Words>
  <Characters>3543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dc:creator>
  <cp:lastModifiedBy>Vicky</cp:lastModifiedBy>
  <cp:revision>11</cp:revision>
  <cp:lastPrinted>2015-09-22T17:24:00Z</cp:lastPrinted>
  <dcterms:created xsi:type="dcterms:W3CDTF">2015-09-22T17:47:00Z</dcterms:created>
  <dcterms:modified xsi:type="dcterms:W3CDTF">2015-11-23T16:39:00Z</dcterms:modified>
</cp:coreProperties>
</file>