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BC7" w:rsidRPr="00B64CAE" w:rsidRDefault="00D5116E" w:rsidP="00D33BC7">
      <w:pPr>
        <w:spacing w:line="480" w:lineRule="auto"/>
        <w:rPr>
          <w:rFonts w:ascii="Times New Roman" w:hAnsi="Times New Roman"/>
        </w:rPr>
      </w:pPr>
      <w:r>
        <w:rPr>
          <w:rFonts w:ascii="Times New Roman" w:hAnsi="Times New Roman"/>
          <w:b/>
        </w:rPr>
        <w:t>Supplementary Table 3</w:t>
      </w:r>
      <w:r w:rsidR="00D33BC7" w:rsidRPr="00B64CAE">
        <w:rPr>
          <w:rFonts w:ascii="Times New Roman" w:hAnsi="Times New Roman"/>
          <w:b/>
        </w:rPr>
        <w:t>.</w:t>
      </w:r>
      <w:r w:rsidR="00D33BC7" w:rsidRPr="00B64CAE">
        <w:rPr>
          <w:rFonts w:ascii="Times New Roman" w:hAnsi="Times New Roman"/>
        </w:rPr>
        <w:t xml:space="preserve"> Test for overrepresentation of parent-of-origin effects (top section) and markers associated with schizophrenia (bottom section) in g</w:t>
      </w:r>
      <w:r w:rsidR="00D33BC7">
        <w:rPr>
          <w:rFonts w:ascii="Times New Roman" w:hAnsi="Times New Roman"/>
        </w:rPr>
        <w:t>enes imprinted in humans</w:t>
      </w:r>
      <w:r w:rsidR="00D33BC7" w:rsidRPr="00B64CAE">
        <w:rPr>
          <w:rFonts w:ascii="Times New Roman" w:hAnsi="Times New Roman"/>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984"/>
        <w:gridCol w:w="2410"/>
        <w:gridCol w:w="2410"/>
      </w:tblGrid>
      <w:tr w:rsidR="00D33BC7" w:rsidRPr="00B64CAE" w:rsidTr="00AC247F">
        <w:trPr>
          <w:trHeight w:val="1147"/>
        </w:trPr>
        <w:tc>
          <w:tcPr>
            <w:tcW w:w="959" w:type="dxa"/>
          </w:tcPr>
          <w:p w:rsidR="00D33BC7" w:rsidRPr="00B64CAE" w:rsidRDefault="00D33BC7" w:rsidP="00AC247F">
            <w:pPr>
              <w:spacing w:line="480" w:lineRule="auto"/>
              <w:jc w:val="center"/>
              <w:rPr>
                <w:rFonts w:ascii="Times New Roman" w:hAnsi="Times New Roman"/>
              </w:rPr>
            </w:pPr>
            <w:r w:rsidRPr="00B64CAE">
              <w:rPr>
                <w:rFonts w:ascii="Times New Roman" w:hAnsi="Times New Roman"/>
              </w:rPr>
              <w:t>Study</w:t>
            </w:r>
          </w:p>
        </w:tc>
        <w:tc>
          <w:tcPr>
            <w:tcW w:w="1134" w:type="dxa"/>
            <w:shd w:val="clear" w:color="auto" w:fill="auto"/>
            <w:vAlign w:val="bottom"/>
          </w:tcPr>
          <w:p w:rsidR="00D33BC7" w:rsidRPr="00B64CAE" w:rsidRDefault="00D33BC7" w:rsidP="00AC247F">
            <w:pPr>
              <w:spacing w:line="480" w:lineRule="auto"/>
              <w:jc w:val="center"/>
              <w:rPr>
                <w:rFonts w:ascii="Times New Roman" w:hAnsi="Times New Roman"/>
              </w:rPr>
            </w:pPr>
            <w:r w:rsidRPr="00B64CAE">
              <w:rPr>
                <w:rFonts w:ascii="Times New Roman" w:hAnsi="Times New Roman"/>
              </w:rPr>
              <w:t>P(T)</w:t>
            </w:r>
          </w:p>
        </w:tc>
        <w:tc>
          <w:tcPr>
            <w:tcW w:w="1984" w:type="dxa"/>
            <w:shd w:val="clear" w:color="auto" w:fill="auto"/>
            <w:vAlign w:val="bottom"/>
          </w:tcPr>
          <w:p w:rsidR="00D33BC7" w:rsidRPr="00B64CAE" w:rsidRDefault="00D33BC7" w:rsidP="00AC247F">
            <w:pPr>
              <w:spacing w:line="480" w:lineRule="auto"/>
              <w:jc w:val="center"/>
              <w:rPr>
                <w:rFonts w:ascii="Times New Roman" w:hAnsi="Times New Roman"/>
              </w:rPr>
            </w:pPr>
            <w:r w:rsidRPr="00B64CAE">
              <w:rPr>
                <w:rFonts w:ascii="Times New Roman" w:hAnsi="Times New Roman"/>
              </w:rPr>
              <w:t>N of observed significant SNPs</w:t>
            </w:r>
          </w:p>
        </w:tc>
        <w:tc>
          <w:tcPr>
            <w:tcW w:w="2410" w:type="dxa"/>
            <w:vAlign w:val="bottom"/>
          </w:tcPr>
          <w:p w:rsidR="00D33BC7" w:rsidRPr="00B64CAE" w:rsidRDefault="00D33BC7" w:rsidP="00AC247F">
            <w:pPr>
              <w:spacing w:line="480" w:lineRule="auto"/>
              <w:jc w:val="center"/>
              <w:rPr>
                <w:rFonts w:ascii="Times New Roman" w:hAnsi="Times New Roman"/>
              </w:rPr>
            </w:pPr>
            <w:r w:rsidRPr="00B64CAE">
              <w:rPr>
                <w:rFonts w:ascii="Times New Roman" w:hAnsi="Times New Roman"/>
              </w:rPr>
              <w:t>Expected number of significant SNPs (mean [SD])</w:t>
            </w:r>
          </w:p>
        </w:tc>
        <w:tc>
          <w:tcPr>
            <w:tcW w:w="2410" w:type="dxa"/>
            <w:shd w:val="clear" w:color="auto" w:fill="auto"/>
            <w:vAlign w:val="bottom"/>
          </w:tcPr>
          <w:p w:rsidR="00D33BC7" w:rsidRPr="00B64CAE" w:rsidRDefault="00D33BC7" w:rsidP="00AC247F">
            <w:pPr>
              <w:spacing w:line="480" w:lineRule="auto"/>
              <w:jc w:val="center"/>
              <w:rPr>
                <w:rFonts w:ascii="Times New Roman" w:hAnsi="Times New Roman"/>
              </w:rPr>
            </w:pPr>
            <w:r w:rsidRPr="00B64CAE">
              <w:rPr>
                <w:rFonts w:ascii="Times New Roman" w:hAnsi="Times New Roman"/>
              </w:rPr>
              <w:t>Overrepresentation p-value</w:t>
            </w:r>
          </w:p>
        </w:tc>
      </w:tr>
      <w:tr w:rsidR="00D33BC7" w:rsidRPr="00B64CAE" w:rsidTr="00AC247F">
        <w:tc>
          <w:tcPr>
            <w:tcW w:w="959" w:type="dxa"/>
            <w:vMerge w:val="restart"/>
            <w:textDirection w:val="btLr"/>
          </w:tcPr>
          <w:p w:rsidR="00D33BC7" w:rsidRPr="00B64CAE" w:rsidRDefault="00D33BC7" w:rsidP="00AC247F">
            <w:pPr>
              <w:spacing w:line="480" w:lineRule="auto"/>
              <w:ind w:left="113" w:right="113"/>
              <w:jc w:val="center"/>
              <w:rPr>
                <w:rFonts w:ascii="Times New Roman" w:hAnsi="Times New Roman"/>
              </w:rPr>
            </w:pPr>
            <w:r w:rsidRPr="00B64CAE">
              <w:rPr>
                <w:rFonts w:ascii="Times New Roman" w:hAnsi="Times New Roman"/>
              </w:rPr>
              <w:t>Trios</w:t>
            </w:r>
          </w:p>
        </w:tc>
        <w:tc>
          <w:tcPr>
            <w:tcW w:w="1134" w:type="dxa"/>
            <w:shd w:val="clear" w:color="auto" w:fill="auto"/>
            <w:vAlign w:val="bottom"/>
          </w:tcPr>
          <w:p w:rsidR="00D33BC7" w:rsidRPr="00B64CAE" w:rsidRDefault="00D33BC7" w:rsidP="00AC247F">
            <w:pPr>
              <w:spacing w:line="480" w:lineRule="auto"/>
              <w:jc w:val="center"/>
              <w:rPr>
                <w:rFonts w:ascii="Times New Roman" w:hAnsi="Times New Roman"/>
              </w:rPr>
            </w:pPr>
            <w:r w:rsidRPr="00B64CAE">
              <w:rPr>
                <w:rFonts w:ascii="Times New Roman" w:hAnsi="Times New Roman"/>
              </w:rPr>
              <w:t>0.001</w:t>
            </w:r>
          </w:p>
        </w:tc>
        <w:tc>
          <w:tcPr>
            <w:tcW w:w="1984" w:type="dxa"/>
            <w:shd w:val="clear" w:color="auto" w:fill="auto"/>
            <w:vAlign w:val="bottom"/>
          </w:tcPr>
          <w:p w:rsidR="00D33BC7" w:rsidRPr="00B64CAE" w:rsidRDefault="00D33BC7" w:rsidP="00AC247F">
            <w:pPr>
              <w:spacing w:line="480" w:lineRule="auto"/>
              <w:jc w:val="center"/>
              <w:rPr>
                <w:rFonts w:ascii="Times New Roman" w:hAnsi="Times New Roman"/>
              </w:rPr>
            </w:pPr>
            <w:r>
              <w:rPr>
                <w:rFonts w:ascii="Times New Roman" w:hAnsi="Times New Roman"/>
              </w:rPr>
              <w:t>3</w:t>
            </w:r>
          </w:p>
        </w:tc>
        <w:tc>
          <w:tcPr>
            <w:tcW w:w="2410" w:type="dxa"/>
            <w:vAlign w:val="bottom"/>
          </w:tcPr>
          <w:p w:rsidR="00D33BC7" w:rsidRPr="00B64CAE" w:rsidRDefault="00C5484B" w:rsidP="00AC247F">
            <w:pPr>
              <w:spacing w:line="480" w:lineRule="auto"/>
              <w:jc w:val="center"/>
              <w:rPr>
                <w:rFonts w:ascii="Times New Roman" w:hAnsi="Times New Roman"/>
              </w:rPr>
            </w:pPr>
            <w:r>
              <w:rPr>
                <w:rFonts w:ascii="Times New Roman" w:hAnsi="Times New Roman"/>
              </w:rPr>
              <w:t>4.4</w:t>
            </w:r>
            <w:r w:rsidR="00D5116E">
              <w:rPr>
                <w:rFonts w:ascii="Times New Roman" w:hAnsi="Times New Roman"/>
              </w:rPr>
              <w:t xml:space="preserve"> </w:t>
            </w:r>
            <w:r>
              <w:rPr>
                <w:rFonts w:ascii="Times New Roman" w:hAnsi="Times New Roman"/>
              </w:rPr>
              <w:t>[</w:t>
            </w:r>
            <w:r w:rsidR="00D5116E">
              <w:rPr>
                <w:rFonts w:ascii="Times New Roman" w:hAnsi="Times New Roman"/>
              </w:rPr>
              <w:t>3.7</w:t>
            </w:r>
            <w:r>
              <w:rPr>
                <w:rFonts w:ascii="Times New Roman" w:hAnsi="Times New Roman"/>
              </w:rPr>
              <w:t>]</w:t>
            </w:r>
          </w:p>
        </w:tc>
        <w:tc>
          <w:tcPr>
            <w:tcW w:w="2410" w:type="dxa"/>
            <w:shd w:val="clear" w:color="auto" w:fill="auto"/>
            <w:vAlign w:val="bottom"/>
          </w:tcPr>
          <w:p w:rsidR="00D33BC7" w:rsidRPr="00B64CAE" w:rsidRDefault="00D5116E" w:rsidP="00D5116E">
            <w:pPr>
              <w:spacing w:line="480" w:lineRule="auto"/>
              <w:jc w:val="center"/>
              <w:rPr>
                <w:rFonts w:ascii="Times New Roman" w:hAnsi="Times New Roman"/>
              </w:rPr>
            </w:pPr>
            <w:r>
              <w:rPr>
                <w:rFonts w:ascii="Times New Roman" w:hAnsi="Times New Roman"/>
              </w:rPr>
              <w:t>0.715</w:t>
            </w:r>
          </w:p>
        </w:tc>
      </w:tr>
      <w:tr w:rsidR="00D33BC7" w:rsidRPr="00B64CAE" w:rsidTr="00AC247F">
        <w:tc>
          <w:tcPr>
            <w:tcW w:w="959" w:type="dxa"/>
            <w:vMerge/>
            <w:textDirection w:val="btLr"/>
          </w:tcPr>
          <w:p w:rsidR="00D33BC7" w:rsidRPr="00B64CAE" w:rsidRDefault="00D33BC7" w:rsidP="00AC247F">
            <w:pPr>
              <w:spacing w:line="480" w:lineRule="auto"/>
              <w:ind w:left="113" w:right="113"/>
              <w:jc w:val="center"/>
              <w:rPr>
                <w:rFonts w:ascii="Times New Roman" w:hAnsi="Times New Roman"/>
              </w:rPr>
            </w:pPr>
          </w:p>
        </w:tc>
        <w:tc>
          <w:tcPr>
            <w:tcW w:w="1134" w:type="dxa"/>
            <w:shd w:val="clear" w:color="auto" w:fill="auto"/>
            <w:vAlign w:val="bottom"/>
          </w:tcPr>
          <w:p w:rsidR="00D33BC7" w:rsidRPr="00B64CAE" w:rsidRDefault="00D33BC7" w:rsidP="00AC247F">
            <w:pPr>
              <w:spacing w:line="480" w:lineRule="auto"/>
              <w:jc w:val="center"/>
              <w:rPr>
                <w:rFonts w:ascii="Times New Roman" w:hAnsi="Times New Roman"/>
              </w:rPr>
            </w:pPr>
            <w:r w:rsidRPr="00B64CAE">
              <w:rPr>
                <w:rFonts w:ascii="Times New Roman" w:hAnsi="Times New Roman"/>
              </w:rPr>
              <w:t>0.01</w:t>
            </w:r>
          </w:p>
        </w:tc>
        <w:tc>
          <w:tcPr>
            <w:tcW w:w="1984" w:type="dxa"/>
            <w:shd w:val="clear" w:color="auto" w:fill="auto"/>
            <w:vAlign w:val="bottom"/>
          </w:tcPr>
          <w:p w:rsidR="00D33BC7" w:rsidRPr="00B64CAE" w:rsidRDefault="00D33BC7" w:rsidP="00AC247F">
            <w:pPr>
              <w:spacing w:line="480" w:lineRule="auto"/>
              <w:jc w:val="center"/>
              <w:rPr>
                <w:rFonts w:ascii="Times New Roman" w:hAnsi="Times New Roman"/>
              </w:rPr>
            </w:pPr>
            <w:r>
              <w:rPr>
                <w:rFonts w:ascii="Times New Roman" w:hAnsi="Times New Roman"/>
              </w:rPr>
              <w:t>26</w:t>
            </w:r>
          </w:p>
        </w:tc>
        <w:tc>
          <w:tcPr>
            <w:tcW w:w="2410" w:type="dxa"/>
            <w:vAlign w:val="bottom"/>
          </w:tcPr>
          <w:p w:rsidR="00D33BC7" w:rsidRPr="00B64CAE" w:rsidRDefault="00D5116E" w:rsidP="00AC247F">
            <w:pPr>
              <w:spacing w:line="480" w:lineRule="auto"/>
              <w:jc w:val="center"/>
              <w:rPr>
                <w:rFonts w:ascii="Times New Roman" w:hAnsi="Times New Roman"/>
              </w:rPr>
            </w:pPr>
            <w:r>
              <w:rPr>
                <w:rFonts w:ascii="Times New Roman" w:hAnsi="Times New Roman"/>
              </w:rPr>
              <w:t>38 [11.4]</w:t>
            </w:r>
          </w:p>
        </w:tc>
        <w:tc>
          <w:tcPr>
            <w:tcW w:w="2410" w:type="dxa"/>
            <w:shd w:val="clear" w:color="auto" w:fill="auto"/>
            <w:vAlign w:val="bottom"/>
          </w:tcPr>
          <w:p w:rsidR="00D33BC7" w:rsidRPr="00B64CAE" w:rsidRDefault="00D5116E" w:rsidP="00AC247F">
            <w:pPr>
              <w:spacing w:line="480" w:lineRule="auto"/>
              <w:jc w:val="center"/>
              <w:rPr>
                <w:rFonts w:ascii="Times New Roman" w:hAnsi="Times New Roman"/>
              </w:rPr>
            </w:pPr>
            <w:r>
              <w:rPr>
                <w:rFonts w:ascii="Times New Roman" w:hAnsi="Times New Roman"/>
              </w:rPr>
              <w:t>0.624</w:t>
            </w:r>
          </w:p>
        </w:tc>
      </w:tr>
      <w:tr w:rsidR="00D33BC7" w:rsidRPr="00B64CAE" w:rsidTr="00AC247F">
        <w:tc>
          <w:tcPr>
            <w:tcW w:w="959" w:type="dxa"/>
            <w:vMerge/>
            <w:textDirection w:val="btLr"/>
          </w:tcPr>
          <w:p w:rsidR="00D33BC7" w:rsidRPr="00B64CAE" w:rsidRDefault="00D33BC7" w:rsidP="00AC247F">
            <w:pPr>
              <w:spacing w:line="480" w:lineRule="auto"/>
              <w:ind w:left="113" w:right="113"/>
              <w:jc w:val="center"/>
              <w:rPr>
                <w:rFonts w:ascii="Times New Roman" w:hAnsi="Times New Roman"/>
              </w:rPr>
            </w:pPr>
          </w:p>
        </w:tc>
        <w:tc>
          <w:tcPr>
            <w:tcW w:w="1134" w:type="dxa"/>
            <w:shd w:val="clear" w:color="auto" w:fill="auto"/>
            <w:vAlign w:val="bottom"/>
          </w:tcPr>
          <w:p w:rsidR="00D33BC7" w:rsidRPr="00B64CAE" w:rsidRDefault="00D33BC7" w:rsidP="00AC247F">
            <w:pPr>
              <w:spacing w:line="480" w:lineRule="auto"/>
              <w:jc w:val="center"/>
              <w:rPr>
                <w:rFonts w:ascii="Times New Roman" w:hAnsi="Times New Roman"/>
              </w:rPr>
            </w:pPr>
            <w:r w:rsidRPr="00B64CAE">
              <w:rPr>
                <w:rFonts w:ascii="Times New Roman" w:hAnsi="Times New Roman"/>
              </w:rPr>
              <w:t>0.05</w:t>
            </w:r>
          </w:p>
        </w:tc>
        <w:tc>
          <w:tcPr>
            <w:tcW w:w="1984" w:type="dxa"/>
            <w:shd w:val="clear" w:color="auto" w:fill="auto"/>
            <w:vAlign w:val="bottom"/>
          </w:tcPr>
          <w:p w:rsidR="00D33BC7" w:rsidRPr="00B64CAE" w:rsidRDefault="00D33BC7" w:rsidP="00AC247F">
            <w:pPr>
              <w:spacing w:line="480" w:lineRule="auto"/>
              <w:jc w:val="center"/>
              <w:rPr>
                <w:rFonts w:ascii="Times New Roman" w:hAnsi="Times New Roman"/>
              </w:rPr>
            </w:pPr>
            <w:r>
              <w:rPr>
                <w:rFonts w:ascii="Times New Roman" w:hAnsi="Times New Roman"/>
              </w:rPr>
              <w:t>161</w:t>
            </w:r>
          </w:p>
        </w:tc>
        <w:tc>
          <w:tcPr>
            <w:tcW w:w="2410" w:type="dxa"/>
            <w:vAlign w:val="bottom"/>
          </w:tcPr>
          <w:p w:rsidR="00D33BC7" w:rsidRPr="00B64CAE" w:rsidRDefault="00D5116E" w:rsidP="00AC247F">
            <w:pPr>
              <w:spacing w:line="480" w:lineRule="auto"/>
              <w:jc w:val="center"/>
              <w:rPr>
                <w:rFonts w:ascii="Times New Roman" w:hAnsi="Times New Roman"/>
              </w:rPr>
            </w:pPr>
            <w:r>
              <w:rPr>
                <w:rFonts w:ascii="Times New Roman" w:hAnsi="Times New Roman"/>
              </w:rPr>
              <w:t>184 [26.2]</w:t>
            </w:r>
          </w:p>
        </w:tc>
        <w:tc>
          <w:tcPr>
            <w:tcW w:w="2410" w:type="dxa"/>
            <w:shd w:val="clear" w:color="auto" w:fill="auto"/>
            <w:vAlign w:val="bottom"/>
          </w:tcPr>
          <w:p w:rsidR="00D33BC7" w:rsidRPr="00B64CAE" w:rsidRDefault="00D5116E" w:rsidP="00AC247F">
            <w:pPr>
              <w:spacing w:line="480" w:lineRule="auto"/>
              <w:jc w:val="center"/>
              <w:rPr>
                <w:rFonts w:ascii="Times New Roman" w:hAnsi="Times New Roman"/>
              </w:rPr>
            </w:pPr>
            <w:r>
              <w:rPr>
                <w:rFonts w:ascii="Times New Roman" w:hAnsi="Times New Roman"/>
              </w:rPr>
              <w:t>0.648</w:t>
            </w:r>
          </w:p>
        </w:tc>
      </w:tr>
      <w:tr w:rsidR="00D33BC7" w:rsidRPr="00B64CAE" w:rsidTr="00AC247F">
        <w:tc>
          <w:tcPr>
            <w:tcW w:w="959" w:type="dxa"/>
            <w:vMerge w:val="restart"/>
            <w:textDirection w:val="btLr"/>
          </w:tcPr>
          <w:p w:rsidR="00D33BC7" w:rsidRPr="00B64CAE" w:rsidRDefault="00D33BC7" w:rsidP="00AC247F">
            <w:pPr>
              <w:spacing w:line="480" w:lineRule="auto"/>
              <w:ind w:left="113" w:right="113"/>
              <w:jc w:val="center"/>
              <w:rPr>
                <w:rFonts w:ascii="Times New Roman" w:hAnsi="Times New Roman"/>
              </w:rPr>
            </w:pPr>
            <w:r w:rsidRPr="00B64CAE">
              <w:rPr>
                <w:rFonts w:ascii="Times New Roman" w:hAnsi="Times New Roman"/>
              </w:rPr>
              <w:t>PGC SZ</w:t>
            </w:r>
          </w:p>
        </w:tc>
        <w:tc>
          <w:tcPr>
            <w:tcW w:w="1134" w:type="dxa"/>
            <w:shd w:val="clear" w:color="auto" w:fill="auto"/>
            <w:vAlign w:val="bottom"/>
          </w:tcPr>
          <w:p w:rsidR="00D33BC7" w:rsidRPr="00B64CAE" w:rsidRDefault="00D33BC7" w:rsidP="00AC247F">
            <w:pPr>
              <w:spacing w:line="480" w:lineRule="auto"/>
              <w:jc w:val="center"/>
              <w:rPr>
                <w:rFonts w:ascii="Times New Roman" w:hAnsi="Times New Roman"/>
              </w:rPr>
            </w:pPr>
            <w:r w:rsidRPr="00B64CAE">
              <w:rPr>
                <w:rFonts w:ascii="Times New Roman" w:hAnsi="Times New Roman"/>
              </w:rPr>
              <w:t>0.001</w:t>
            </w:r>
          </w:p>
        </w:tc>
        <w:tc>
          <w:tcPr>
            <w:tcW w:w="1984" w:type="dxa"/>
            <w:shd w:val="clear" w:color="auto" w:fill="auto"/>
            <w:vAlign w:val="bottom"/>
          </w:tcPr>
          <w:p w:rsidR="00D33BC7" w:rsidRPr="00B64CAE" w:rsidRDefault="00DB1CB2" w:rsidP="00AC247F">
            <w:pPr>
              <w:spacing w:line="480" w:lineRule="auto"/>
              <w:jc w:val="center"/>
              <w:rPr>
                <w:rFonts w:ascii="Times New Roman" w:hAnsi="Times New Roman"/>
              </w:rPr>
            </w:pPr>
            <w:r>
              <w:rPr>
                <w:rFonts w:ascii="Times New Roman" w:hAnsi="Times New Roman"/>
              </w:rPr>
              <w:t>532</w:t>
            </w:r>
          </w:p>
        </w:tc>
        <w:tc>
          <w:tcPr>
            <w:tcW w:w="2410" w:type="dxa"/>
            <w:vAlign w:val="bottom"/>
          </w:tcPr>
          <w:p w:rsidR="00D33BC7" w:rsidRPr="00B64CAE" w:rsidRDefault="007A3691" w:rsidP="00AC247F">
            <w:pPr>
              <w:spacing w:line="480" w:lineRule="auto"/>
              <w:jc w:val="center"/>
              <w:rPr>
                <w:rFonts w:ascii="Times New Roman" w:hAnsi="Times New Roman"/>
              </w:rPr>
            </w:pPr>
            <w:r>
              <w:rPr>
                <w:rFonts w:ascii="Times New Roman" w:hAnsi="Times New Roman"/>
              </w:rPr>
              <w:t>521 [231.0]</w:t>
            </w:r>
          </w:p>
        </w:tc>
        <w:tc>
          <w:tcPr>
            <w:tcW w:w="2410" w:type="dxa"/>
            <w:shd w:val="clear" w:color="auto" w:fill="auto"/>
            <w:vAlign w:val="bottom"/>
          </w:tcPr>
          <w:p w:rsidR="00D33BC7" w:rsidRPr="00B64CAE" w:rsidRDefault="00DB1CB2" w:rsidP="00AC247F">
            <w:pPr>
              <w:spacing w:line="480" w:lineRule="auto"/>
              <w:jc w:val="center"/>
              <w:rPr>
                <w:rFonts w:ascii="Times New Roman" w:hAnsi="Times New Roman"/>
              </w:rPr>
            </w:pPr>
            <w:r>
              <w:rPr>
                <w:rFonts w:ascii="Times New Roman" w:hAnsi="Times New Roman"/>
              </w:rPr>
              <w:t>0.418</w:t>
            </w:r>
          </w:p>
        </w:tc>
      </w:tr>
      <w:tr w:rsidR="00D33BC7" w:rsidRPr="00B64CAE" w:rsidTr="00AC247F">
        <w:tc>
          <w:tcPr>
            <w:tcW w:w="959" w:type="dxa"/>
            <w:vMerge/>
          </w:tcPr>
          <w:p w:rsidR="00D33BC7" w:rsidRPr="00B64CAE" w:rsidRDefault="00D33BC7" w:rsidP="00AC247F">
            <w:pPr>
              <w:spacing w:line="480" w:lineRule="auto"/>
              <w:jc w:val="center"/>
              <w:rPr>
                <w:rFonts w:ascii="Times New Roman" w:hAnsi="Times New Roman"/>
              </w:rPr>
            </w:pPr>
          </w:p>
        </w:tc>
        <w:tc>
          <w:tcPr>
            <w:tcW w:w="1134" w:type="dxa"/>
            <w:shd w:val="clear" w:color="auto" w:fill="auto"/>
            <w:vAlign w:val="bottom"/>
          </w:tcPr>
          <w:p w:rsidR="00D33BC7" w:rsidRPr="00B64CAE" w:rsidRDefault="00D33BC7" w:rsidP="00AC247F">
            <w:pPr>
              <w:spacing w:line="480" w:lineRule="auto"/>
              <w:jc w:val="center"/>
              <w:rPr>
                <w:rFonts w:ascii="Times New Roman" w:hAnsi="Times New Roman"/>
              </w:rPr>
            </w:pPr>
            <w:r w:rsidRPr="00B64CAE">
              <w:rPr>
                <w:rFonts w:ascii="Times New Roman" w:hAnsi="Times New Roman"/>
              </w:rPr>
              <w:t>0.01</w:t>
            </w:r>
          </w:p>
        </w:tc>
        <w:tc>
          <w:tcPr>
            <w:tcW w:w="1984" w:type="dxa"/>
            <w:shd w:val="clear" w:color="auto" w:fill="auto"/>
            <w:vAlign w:val="bottom"/>
          </w:tcPr>
          <w:p w:rsidR="00D33BC7" w:rsidRPr="00B64CAE" w:rsidRDefault="00DB1CB2" w:rsidP="00AC247F">
            <w:pPr>
              <w:spacing w:line="480" w:lineRule="auto"/>
              <w:jc w:val="center"/>
              <w:rPr>
                <w:rFonts w:ascii="Times New Roman" w:hAnsi="Times New Roman"/>
              </w:rPr>
            </w:pPr>
            <w:r>
              <w:rPr>
                <w:rFonts w:ascii="Times New Roman" w:hAnsi="Times New Roman"/>
              </w:rPr>
              <w:t>1,965</w:t>
            </w:r>
          </w:p>
        </w:tc>
        <w:tc>
          <w:tcPr>
            <w:tcW w:w="2410" w:type="dxa"/>
            <w:vAlign w:val="bottom"/>
          </w:tcPr>
          <w:p w:rsidR="00D33BC7" w:rsidRPr="00B64CAE" w:rsidRDefault="007A3691" w:rsidP="00AC247F">
            <w:pPr>
              <w:spacing w:line="480" w:lineRule="auto"/>
              <w:jc w:val="center"/>
              <w:rPr>
                <w:rFonts w:ascii="Times New Roman" w:hAnsi="Times New Roman"/>
              </w:rPr>
            </w:pPr>
            <w:r>
              <w:rPr>
                <w:rFonts w:ascii="Times New Roman" w:hAnsi="Times New Roman"/>
              </w:rPr>
              <w:t>1,870 [443.7]</w:t>
            </w:r>
          </w:p>
        </w:tc>
        <w:tc>
          <w:tcPr>
            <w:tcW w:w="2410" w:type="dxa"/>
            <w:shd w:val="clear" w:color="auto" w:fill="auto"/>
            <w:vAlign w:val="bottom"/>
          </w:tcPr>
          <w:p w:rsidR="00D33BC7" w:rsidRPr="00B64CAE" w:rsidRDefault="00DB1CB2" w:rsidP="00AC247F">
            <w:pPr>
              <w:spacing w:line="480" w:lineRule="auto"/>
              <w:jc w:val="center"/>
              <w:rPr>
                <w:rFonts w:ascii="Times New Roman" w:hAnsi="Times New Roman"/>
              </w:rPr>
            </w:pPr>
            <w:r>
              <w:rPr>
                <w:rFonts w:ascii="Times New Roman" w:hAnsi="Times New Roman"/>
              </w:rPr>
              <w:t>0.374</w:t>
            </w:r>
          </w:p>
        </w:tc>
      </w:tr>
      <w:tr w:rsidR="00D33BC7" w:rsidRPr="00B64CAE" w:rsidTr="00AC247F">
        <w:tc>
          <w:tcPr>
            <w:tcW w:w="959" w:type="dxa"/>
            <w:vMerge/>
          </w:tcPr>
          <w:p w:rsidR="00D33BC7" w:rsidRPr="00B64CAE" w:rsidRDefault="00D33BC7" w:rsidP="00AC247F">
            <w:pPr>
              <w:spacing w:line="480" w:lineRule="auto"/>
              <w:jc w:val="center"/>
              <w:rPr>
                <w:rFonts w:ascii="Times New Roman" w:hAnsi="Times New Roman"/>
              </w:rPr>
            </w:pPr>
          </w:p>
        </w:tc>
        <w:tc>
          <w:tcPr>
            <w:tcW w:w="1134" w:type="dxa"/>
            <w:shd w:val="clear" w:color="auto" w:fill="auto"/>
            <w:vAlign w:val="bottom"/>
          </w:tcPr>
          <w:p w:rsidR="00D33BC7" w:rsidRPr="00B64CAE" w:rsidRDefault="00D33BC7" w:rsidP="00AC247F">
            <w:pPr>
              <w:spacing w:line="480" w:lineRule="auto"/>
              <w:jc w:val="center"/>
              <w:rPr>
                <w:rFonts w:ascii="Times New Roman" w:hAnsi="Times New Roman"/>
              </w:rPr>
            </w:pPr>
            <w:r w:rsidRPr="00B64CAE">
              <w:rPr>
                <w:rFonts w:ascii="Times New Roman" w:hAnsi="Times New Roman"/>
              </w:rPr>
              <w:t>0.05</w:t>
            </w:r>
          </w:p>
        </w:tc>
        <w:tc>
          <w:tcPr>
            <w:tcW w:w="1984" w:type="dxa"/>
            <w:shd w:val="clear" w:color="auto" w:fill="auto"/>
            <w:vAlign w:val="bottom"/>
          </w:tcPr>
          <w:p w:rsidR="00D33BC7" w:rsidRPr="00B64CAE" w:rsidRDefault="00DB1CB2" w:rsidP="00AC247F">
            <w:pPr>
              <w:spacing w:line="480" w:lineRule="auto"/>
              <w:jc w:val="center"/>
              <w:rPr>
                <w:rFonts w:ascii="Times New Roman" w:hAnsi="Times New Roman"/>
              </w:rPr>
            </w:pPr>
            <w:r>
              <w:rPr>
                <w:rFonts w:ascii="Times New Roman" w:hAnsi="Times New Roman"/>
              </w:rPr>
              <w:t>5,186</w:t>
            </w:r>
          </w:p>
        </w:tc>
        <w:tc>
          <w:tcPr>
            <w:tcW w:w="2410" w:type="dxa"/>
            <w:vAlign w:val="bottom"/>
          </w:tcPr>
          <w:p w:rsidR="00D33BC7" w:rsidRPr="00B64CAE" w:rsidRDefault="007A3691" w:rsidP="007A3691">
            <w:pPr>
              <w:spacing w:line="480" w:lineRule="auto"/>
              <w:jc w:val="center"/>
              <w:rPr>
                <w:rFonts w:ascii="Times New Roman" w:hAnsi="Times New Roman"/>
              </w:rPr>
            </w:pPr>
            <w:r>
              <w:rPr>
                <w:rFonts w:ascii="Times New Roman" w:hAnsi="Times New Roman"/>
              </w:rPr>
              <w:t>5,184 [649.9]</w:t>
            </w:r>
          </w:p>
        </w:tc>
        <w:tc>
          <w:tcPr>
            <w:tcW w:w="2410" w:type="dxa"/>
            <w:shd w:val="clear" w:color="auto" w:fill="auto"/>
            <w:vAlign w:val="bottom"/>
          </w:tcPr>
          <w:p w:rsidR="00D33BC7" w:rsidRPr="00B64CAE" w:rsidRDefault="00DB1CB2" w:rsidP="00AC247F">
            <w:pPr>
              <w:spacing w:line="480" w:lineRule="auto"/>
              <w:jc w:val="center"/>
              <w:rPr>
                <w:rFonts w:ascii="Times New Roman" w:hAnsi="Times New Roman"/>
              </w:rPr>
            </w:pPr>
            <w:r>
              <w:rPr>
                <w:rFonts w:ascii="Times New Roman" w:hAnsi="Times New Roman"/>
              </w:rPr>
              <w:t>0.490</w:t>
            </w:r>
          </w:p>
        </w:tc>
      </w:tr>
    </w:tbl>
    <w:p w:rsidR="00E45740" w:rsidRPr="00B64CAE" w:rsidRDefault="00E45740" w:rsidP="00E45740">
      <w:pPr>
        <w:spacing w:line="480" w:lineRule="auto"/>
        <w:rPr>
          <w:rFonts w:ascii="Times New Roman" w:hAnsi="Times New Roman"/>
        </w:rPr>
      </w:pPr>
      <w:r>
        <w:rPr>
          <w:rFonts w:ascii="Times New Roman" w:hAnsi="Times New Roman"/>
        </w:rPr>
        <w:t xml:space="preserve">Legend: </w:t>
      </w:r>
      <w:proofErr w:type="gramStart"/>
      <w:r w:rsidRPr="00B64CAE">
        <w:rPr>
          <w:rFonts w:ascii="Times New Roman" w:hAnsi="Times New Roman"/>
        </w:rPr>
        <w:t>P(</w:t>
      </w:r>
      <w:proofErr w:type="gramEnd"/>
      <w:r w:rsidRPr="00B64CAE">
        <w:rPr>
          <w:rFonts w:ascii="Times New Roman" w:hAnsi="Times New Roman"/>
        </w:rPr>
        <w:t>T) denotes the significance threshold for association surpassed by the numbers of markers denoted in the same row. Third column shows the number of observed significant SNPs in the parent-</w:t>
      </w:r>
      <w:proofErr w:type="spellStart"/>
      <w:r w:rsidRPr="00B64CAE">
        <w:rPr>
          <w:rFonts w:ascii="Times New Roman" w:hAnsi="Times New Roman"/>
        </w:rPr>
        <w:t>proband</w:t>
      </w:r>
      <w:proofErr w:type="spellEnd"/>
      <w:r w:rsidRPr="00B64CAE">
        <w:rPr>
          <w:rFonts w:ascii="Times New Roman" w:hAnsi="Times New Roman"/>
        </w:rPr>
        <w:t xml:space="preserve"> trios and PGC SZ data, respectively. The expected numbers of markers (mean) and standard deviations (SDs) were estimated using 1000 simulations by randomly bootstrapping the same number of loci, each with the corresponding numbers of markers, as the set of genes imprinted in humans or mice. Over-representation p-values were estimated empirically as the proportion of simulations where the number of significant markers was greater or equal to that observed in real dataset. </w:t>
      </w:r>
    </w:p>
    <w:p w:rsidR="005A7AC1" w:rsidRDefault="005A7AC1">
      <w:bookmarkStart w:id="0" w:name="_GoBack"/>
      <w:bookmarkEnd w:id="0"/>
    </w:p>
    <w:sectPr w:rsidR="005A7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C7"/>
    <w:rsid w:val="005A7AC1"/>
    <w:rsid w:val="007A3691"/>
    <w:rsid w:val="00C5484B"/>
    <w:rsid w:val="00D33BC7"/>
    <w:rsid w:val="00D5116E"/>
    <w:rsid w:val="00DB1CB2"/>
    <w:rsid w:val="00E07ADD"/>
    <w:rsid w:val="00E45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80888-F753-4F42-A49C-3FA79811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C7"/>
    <w:pPr>
      <w:spacing w:after="0" w:line="240" w:lineRule="auto"/>
    </w:pPr>
    <w:rPr>
      <w:rFonts w:ascii="Arial" w:eastAsia="MS Mincho" w:hAnsi="Arial" w:cs="Times New Roman"/>
      <w:color w:val="000000"/>
      <w:kern w:val="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wpcvm</dc:creator>
  <cp:keywords/>
  <dc:description/>
  <cp:lastModifiedBy>wpcvm</cp:lastModifiedBy>
  <cp:revision>5</cp:revision>
  <dcterms:created xsi:type="dcterms:W3CDTF">2015-09-03T10:45:00Z</dcterms:created>
  <dcterms:modified xsi:type="dcterms:W3CDTF">2015-09-04T14:06:00Z</dcterms:modified>
</cp:coreProperties>
</file>