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6" w:rsidRPr="00C84B31" w:rsidRDefault="00F94CD3" w:rsidP="00C844F6">
      <w:pPr>
        <w:suppressLineNumbers/>
        <w:spacing w:before="240" w:after="60" w:line="240" w:lineRule="auto"/>
        <w:rPr>
          <w:b/>
          <w:bCs/>
          <w:sz w:val="24"/>
          <w:szCs w:val="24"/>
          <w:lang w:val="en-US" w:eastAsia="it-IT"/>
        </w:rPr>
      </w:pPr>
      <w:r>
        <w:rPr>
          <w:b/>
          <w:bCs/>
          <w:sz w:val="24"/>
          <w:szCs w:val="24"/>
          <w:lang w:val="en-US" w:eastAsia="it-IT"/>
        </w:rPr>
        <w:t xml:space="preserve">S1 </w:t>
      </w:r>
      <w:r w:rsidR="00C844F6">
        <w:rPr>
          <w:b/>
          <w:bCs/>
          <w:sz w:val="24"/>
          <w:szCs w:val="24"/>
          <w:lang w:val="en-US" w:eastAsia="it-IT"/>
        </w:rPr>
        <w:t xml:space="preserve">Table. </w:t>
      </w:r>
      <w:r w:rsidR="00C844F6" w:rsidRPr="00C84B31">
        <w:rPr>
          <w:b/>
          <w:bCs/>
          <w:sz w:val="24"/>
          <w:szCs w:val="24"/>
          <w:lang w:val="en-US" w:eastAsia="it-IT"/>
        </w:rPr>
        <w:t xml:space="preserve">Depressive symptoms, environmental and socio-demographic factors by 5HTTLPR-rs25531 combined genotypes. The appropriate test and p-value for each investigated association are reported. </w:t>
      </w:r>
    </w:p>
    <w:tbl>
      <w:tblPr>
        <w:tblStyle w:val="Grigliatabella"/>
        <w:tblW w:w="10928" w:type="dxa"/>
        <w:tblLayout w:type="fixed"/>
        <w:tblLook w:val="00A0" w:firstRow="1" w:lastRow="0" w:firstColumn="1" w:lastColumn="0" w:noHBand="0" w:noVBand="0"/>
      </w:tblPr>
      <w:tblGrid>
        <w:gridCol w:w="2943"/>
        <w:gridCol w:w="2727"/>
        <w:gridCol w:w="1328"/>
        <w:gridCol w:w="1401"/>
        <w:gridCol w:w="1328"/>
        <w:gridCol w:w="1201"/>
      </w:tblGrid>
      <w:tr w:rsidR="006C41F5" w:rsidRPr="000B3A5E" w:rsidTr="002C791B">
        <w:trPr>
          <w:trHeight w:val="287"/>
        </w:trPr>
        <w:tc>
          <w:tcPr>
            <w:tcW w:w="5670" w:type="dxa"/>
            <w:gridSpan w:val="2"/>
            <w:vMerge w:val="restart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4057" w:type="dxa"/>
            <w:gridSpan w:val="3"/>
          </w:tcPr>
          <w:p w:rsidR="006C41F5" w:rsidRPr="000B3A5E" w:rsidRDefault="006C41F5" w:rsidP="00E073BA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5HTTLPR-rs25531 combined genotype</w:t>
            </w:r>
          </w:p>
        </w:tc>
        <w:tc>
          <w:tcPr>
            <w:tcW w:w="1201" w:type="dxa"/>
          </w:tcPr>
          <w:p w:rsidR="006C41F5" w:rsidRPr="000B3A5E" w:rsidRDefault="006C41F5" w:rsidP="00E073BA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6C41F5" w:rsidRPr="000B3A5E" w:rsidTr="002C791B">
        <w:trPr>
          <w:trHeight w:val="287"/>
        </w:trPr>
        <w:tc>
          <w:tcPr>
            <w:tcW w:w="5670" w:type="dxa"/>
            <w:gridSpan w:val="2"/>
            <w:vMerge/>
          </w:tcPr>
          <w:p w:rsidR="006C41F5" w:rsidRPr="000B3A5E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US" w:eastAsia="it-IT"/>
              </w:rPr>
            </w:pPr>
          </w:p>
        </w:tc>
        <w:tc>
          <w:tcPr>
            <w:tcW w:w="1328" w:type="dxa"/>
            <w:noWrap/>
          </w:tcPr>
          <w:p w:rsidR="006C41F5" w:rsidRPr="000B3A5E" w:rsidRDefault="006C41F5" w:rsidP="002C791B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L</w:t>
            </w:r>
            <w:r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>′</w:t>
            </w: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L</w:t>
            </w:r>
            <w:r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>′</w:t>
            </w:r>
            <w:r w:rsidR="002C791B"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n=344</w:t>
            </w:r>
          </w:p>
        </w:tc>
        <w:tc>
          <w:tcPr>
            <w:tcW w:w="1401" w:type="dxa"/>
            <w:noWrap/>
          </w:tcPr>
          <w:p w:rsidR="006C41F5" w:rsidRPr="000B3A5E" w:rsidRDefault="006C41F5" w:rsidP="002C791B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L</w:t>
            </w:r>
            <w:r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>′</w:t>
            </w: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S</w:t>
            </w:r>
            <w:r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>′</w:t>
            </w:r>
            <w:r w:rsidR="002C791B"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n=663</w:t>
            </w:r>
          </w:p>
        </w:tc>
        <w:tc>
          <w:tcPr>
            <w:tcW w:w="1328" w:type="dxa"/>
            <w:noWrap/>
          </w:tcPr>
          <w:p w:rsidR="006C41F5" w:rsidRPr="000B3A5E" w:rsidRDefault="006C41F5" w:rsidP="002C791B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S</w:t>
            </w:r>
            <w:r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>′</w:t>
            </w: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S</w:t>
            </w:r>
            <w:r>
              <w:rPr>
                <w:rStyle w:val="hps"/>
                <w:rFonts w:ascii="Calibri" w:hAnsi="Calibri" w:cs="Arial"/>
                <w:sz w:val="24"/>
                <w:szCs w:val="24"/>
                <w:lang w:val="en-US"/>
              </w:rPr>
              <w:t>′</w:t>
            </w: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 xml:space="preserve"> n=305 </w:t>
            </w:r>
          </w:p>
        </w:tc>
        <w:tc>
          <w:tcPr>
            <w:tcW w:w="1201" w:type="dxa"/>
          </w:tcPr>
          <w:p w:rsidR="006C41F5" w:rsidRPr="000B3A5E" w:rsidRDefault="006C41F5" w:rsidP="00E073BA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Test and</w:t>
            </w:r>
          </w:p>
          <w:p w:rsidR="006C41F5" w:rsidRPr="000B3A5E" w:rsidRDefault="006C41F5" w:rsidP="00E073BA">
            <w:pPr>
              <w:spacing w:before="240" w:after="60" w:line="360" w:lineRule="auto"/>
              <w:contextualSpacing/>
              <w:jc w:val="center"/>
              <w:rPr>
                <w:b/>
                <w:bCs/>
                <w:sz w:val="24"/>
                <w:szCs w:val="24"/>
                <w:lang w:val="en-US" w:eastAsia="it-IT"/>
              </w:rPr>
            </w:pPr>
            <w:r w:rsidRPr="000B3A5E">
              <w:rPr>
                <w:b/>
                <w:bCs/>
                <w:sz w:val="24"/>
                <w:szCs w:val="24"/>
                <w:lang w:val="en-US" w:eastAsia="it-IT"/>
              </w:rPr>
              <w:t>p-value</w:t>
            </w:r>
          </w:p>
        </w:tc>
      </w:tr>
      <w:tr w:rsidR="002C791B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b/>
                <w:bCs/>
                <w:sz w:val="24"/>
                <w:szCs w:val="24"/>
                <w:lang w:val="en-US" w:eastAsia="it-IT"/>
              </w:rPr>
              <w:t>Depressive symptoms</w:t>
            </w:r>
          </w:p>
        </w:tc>
        <w:tc>
          <w:tcPr>
            <w:tcW w:w="2727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no</w:t>
            </w:r>
            <w:r>
              <w:rPr>
                <w:sz w:val="24"/>
                <w:szCs w:val="24"/>
                <w:lang w:val="en-GB" w:eastAsia="it-IT"/>
              </w:rPr>
              <w:t>t</w:t>
            </w:r>
            <w:r w:rsidRPr="00FD729C">
              <w:rPr>
                <w:sz w:val="24"/>
                <w:szCs w:val="24"/>
                <w:lang w:val="en-GB" w:eastAsia="it-IT"/>
              </w:rPr>
              <w:t xml:space="preserve"> relevant (GDS&lt;5),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290 (87.61)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541 (84.40)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232 (79.79)</w:t>
            </w:r>
          </w:p>
        </w:tc>
        <w:tc>
          <w:tcPr>
            <w:tcW w:w="1201" w:type="dxa"/>
          </w:tcPr>
          <w:p w:rsidR="006C41F5" w:rsidRPr="00FD729C" w:rsidRDefault="006C41F5" w:rsidP="002C791B">
            <w:pPr>
              <w:spacing w:before="240" w:after="60" w:line="360" w:lineRule="auto"/>
              <w:contextualSpacing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χ</w:t>
            </w:r>
            <w:r w:rsidRPr="00FD729C">
              <w:rPr>
                <w:sz w:val="24"/>
                <w:szCs w:val="24"/>
                <w:vertAlign w:val="superscript"/>
                <w:lang w:eastAsia="it-IT"/>
              </w:rPr>
              <w:t>2</w:t>
            </w:r>
            <w:r w:rsidRPr="00FD729C">
              <w:rPr>
                <w:sz w:val="24"/>
                <w:szCs w:val="24"/>
                <w:lang w:eastAsia="it-IT"/>
              </w:rPr>
              <w:t>=7.17</w:t>
            </w:r>
            <w:r>
              <w:rPr>
                <w:sz w:val="24"/>
                <w:szCs w:val="24"/>
                <w:lang w:eastAsia="it-IT"/>
              </w:rPr>
              <w:t>,</w:t>
            </w:r>
            <w:r w:rsidR="002C791B">
              <w:rPr>
                <w:sz w:val="24"/>
                <w:szCs w:val="24"/>
                <w:lang w:eastAsia="it-IT"/>
              </w:rPr>
              <w:t xml:space="preserve"> </w:t>
            </w:r>
            <w:r w:rsidRPr="00FD729C">
              <w:rPr>
                <w:b/>
                <w:bCs/>
                <w:i/>
                <w:iCs/>
                <w:sz w:val="24"/>
                <w:szCs w:val="24"/>
                <w:lang w:eastAsia="it-IT"/>
              </w:rPr>
              <w:t>p</w:t>
            </w:r>
            <w:r w:rsidRPr="00FD729C">
              <w:rPr>
                <w:b/>
                <w:bCs/>
                <w:sz w:val="24"/>
                <w:szCs w:val="24"/>
                <w:lang w:eastAsia="it-IT"/>
              </w:rPr>
              <w:t>=.028</w:t>
            </w:r>
          </w:p>
        </w:tc>
      </w:tr>
      <w:tr w:rsidR="002C791B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2727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relevant (GDS</w:t>
            </w:r>
            <w:r w:rsidRPr="00FD729C">
              <w:rPr>
                <w:color w:val="222222"/>
                <w:sz w:val="24"/>
                <w:szCs w:val="24"/>
                <w:lang w:val="en-GB"/>
              </w:rPr>
              <w:t>≥</w:t>
            </w:r>
            <w:r w:rsidRPr="00FD729C">
              <w:rPr>
                <w:sz w:val="24"/>
                <w:szCs w:val="24"/>
                <w:lang w:val="en-GB" w:eastAsia="it-IT"/>
              </w:rPr>
              <w:t>5),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41 (12.39)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100 (15.60)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59 (20.21)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b/>
                <w:bCs/>
                <w:sz w:val="24"/>
                <w:szCs w:val="24"/>
                <w:lang w:eastAsia="it-IT"/>
              </w:rPr>
              <w:t>Gender</w:t>
            </w:r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female,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179 (52.03)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366 (55.20)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163 (53.44)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χ</w:t>
            </w:r>
            <w:r w:rsidRPr="00FD729C">
              <w:rPr>
                <w:sz w:val="24"/>
                <w:szCs w:val="24"/>
                <w:vertAlign w:val="superscript"/>
                <w:lang w:eastAsia="it-IT"/>
              </w:rPr>
              <w:t>2</w:t>
            </w:r>
            <w:r w:rsidRPr="00FD729C">
              <w:rPr>
                <w:sz w:val="24"/>
                <w:szCs w:val="24"/>
                <w:lang w:eastAsia="it-IT"/>
              </w:rPr>
              <w:t>=.96</w:t>
            </w:r>
            <w:r w:rsidRPr="00FD729C">
              <w:rPr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FD729C">
              <w:rPr>
                <w:i/>
                <w:iCs/>
                <w:color w:val="000000"/>
                <w:sz w:val="24"/>
                <w:szCs w:val="24"/>
                <w:lang w:eastAsia="it-IT"/>
              </w:rPr>
              <w:t>p</w:t>
            </w:r>
            <w:r w:rsidRPr="00FD729C">
              <w:rPr>
                <w:color w:val="000000"/>
                <w:sz w:val="24"/>
                <w:szCs w:val="24"/>
                <w:lang w:eastAsia="it-IT"/>
              </w:rPr>
              <w:t>=.61</w:t>
            </w:r>
          </w:p>
        </w:tc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male,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165 (47.97)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297 (44.80)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142 (46.56)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6C41F5" w:rsidRPr="00FD729C" w:rsidTr="002C791B">
        <w:trPr>
          <w:trHeight w:val="287"/>
        </w:trPr>
        <w:tc>
          <w:tcPr>
            <w:tcW w:w="5670" w:type="dxa"/>
            <w:gridSpan w:val="2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b/>
                <w:bCs/>
                <w:sz w:val="24"/>
                <w:szCs w:val="24"/>
                <w:lang w:val="en-US" w:eastAsia="it-IT"/>
              </w:rPr>
              <w:t>Age (years)</w:t>
            </w:r>
            <w:r w:rsidRPr="0023367E">
              <w:rPr>
                <w:sz w:val="24"/>
                <w:szCs w:val="24"/>
                <w:lang w:val="en-US" w:eastAsia="it-IT"/>
              </w:rPr>
              <w:t>,</w:t>
            </w:r>
            <w:r w:rsidRPr="00FD729C">
              <w:rPr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FD729C">
              <w:rPr>
                <w:sz w:val="24"/>
                <w:szCs w:val="24"/>
                <w:lang w:val="en-US" w:eastAsia="it-IT"/>
              </w:rPr>
              <w:t>mean ± SD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72.14±1.45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72.03±1.45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71.95±1.44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 xml:space="preserve">F=1.47, </w:t>
            </w:r>
            <w:r w:rsidRPr="00FD729C">
              <w:rPr>
                <w:i/>
                <w:iCs/>
                <w:sz w:val="24"/>
                <w:szCs w:val="24"/>
                <w:lang w:val="en-GB" w:eastAsia="it-IT"/>
              </w:rPr>
              <w:t>p</w:t>
            </w:r>
            <w:r w:rsidRPr="00FD729C">
              <w:rPr>
                <w:sz w:val="24"/>
                <w:szCs w:val="24"/>
                <w:lang w:val="en-GB" w:eastAsia="it-IT"/>
              </w:rPr>
              <w:t>=.23</w:t>
            </w:r>
          </w:p>
        </w:tc>
        <w:bookmarkStart w:id="0" w:name="_GoBack"/>
        <w:bookmarkEnd w:id="0"/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b/>
                <w:bCs/>
                <w:sz w:val="24"/>
                <w:szCs w:val="24"/>
                <w:lang w:val="en-GB" w:eastAsia="it-IT"/>
              </w:rPr>
              <w:t>Marital status</w:t>
            </w:r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color w:val="222222"/>
                <w:sz w:val="24"/>
                <w:szCs w:val="24"/>
                <w:lang w:val="en-US"/>
              </w:rPr>
              <w:t>coupled</w:t>
            </w:r>
            <w:r w:rsidRPr="00FD729C">
              <w:rPr>
                <w:sz w:val="24"/>
                <w:szCs w:val="24"/>
                <w:lang w:val="en-US" w:eastAsia="it-IT"/>
              </w:rPr>
              <w:t>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227 (65.99)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454 (68.58))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198 (65.13)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>
              <w:rPr>
                <w:sz w:val="24"/>
                <w:szCs w:val="24"/>
                <w:lang w:eastAsia="it-IT"/>
              </w:rPr>
              <w:t>χ</w:t>
            </w:r>
            <w:r w:rsidRPr="00FD729C">
              <w:rPr>
                <w:sz w:val="24"/>
                <w:szCs w:val="24"/>
                <w:vertAlign w:val="superscript"/>
                <w:lang w:eastAsia="it-IT"/>
              </w:rPr>
              <w:t>2</w:t>
            </w:r>
            <w:r w:rsidRPr="00FD729C">
              <w:rPr>
                <w:sz w:val="24"/>
                <w:szCs w:val="24"/>
                <w:lang w:val="en-GB" w:eastAsia="it-IT"/>
              </w:rPr>
              <w:t>=6.55,</w:t>
            </w:r>
            <w:r w:rsidRPr="00FD729C">
              <w:rPr>
                <w:i/>
                <w:iCs/>
                <w:sz w:val="24"/>
                <w:szCs w:val="24"/>
                <w:lang w:eastAsia="it-IT"/>
              </w:rPr>
              <w:t xml:space="preserve"> p</w:t>
            </w:r>
            <w:r w:rsidRPr="00FD729C">
              <w:rPr>
                <w:sz w:val="24"/>
                <w:szCs w:val="24"/>
                <w:lang w:eastAsia="it-IT"/>
              </w:rPr>
              <w:t>=.62</w:t>
            </w:r>
          </w:p>
        </w:tc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single</w:t>
            </w:r>
            <w:r w:rsidRPr="00FD729C">
              <w:rPr>
                <w:sz w:val="24"/>
                <w:szCs w:val="24"/>
                <w:lang w:val="en-GB" w:eastAsia="it-IT"/>
              </w:rPr>
              <w:t>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21 (6.10)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GB"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39 (5.89)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val="en-GB" w:eastAsia="it-IT"/>
              </w:rPr>
              <w:t>19 (6</w:t>
            </w:r>
            <w:r w:rsidRPr="00FD729C">
              <w:rPr>
                <w:sz w:val="24"/>
                <w:szCs w:val="24"/>
                <w:lang w:eastAsia="it-IT"/>
              </w:rPr>
              <w:t>.25)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color w:val="222222"/>
                <w:sz w:val="24"/>
                <w:szCs w:val="24"/>
                <w:lang w:val="en-US"/>
              </w:rPr>
              <w:t>uncoupled</w:t>
            </w:r>
            <w:r w:rsidRPr="00FD729C">
              <w:rPr>
                <w:sz w:val="24"/>
                <w:szCs w:val="24"/>
                <w:lang w:val="en-US" w:eastAsia="it-IT"/>
              </w:rPr>
              <w:t>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96 (27.91)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169 (25.53)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87 (28.62)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6C41F5" w:rsidRPr="00FD729C" w:rsidTr="002C791B">
        <w:trPr>
          <w:trHeight w:val="287"/>
        </w:trPr>
        <w:tc>
          <w:tcPr>
            <w:tcW w:w="5670" w:type="dxa"/>
            <w:gridSpan w:val="2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r w:rsidRPr="00FD729C">
              <w:rPr>
                <w:b/>
                <w:bCs/>
                <w:sz w:val="24"/>
                <w:szCs w:val="24"/>
                <w:lang w:val="en-US" w:eastAsia="it-IT"/>
              </w:rPr>
              <w:t>Number of adverse life events</w:t>
            </w:r>
            <w:r w:rsidRPr="0023367E">
              <w:rPr>
                <w:sz w:val="24"/>
                <w:szCs w:val="24"/>
                <w:lang w:val="en-US" w:eastAsia="it-IT"/>
              </w:rPr>
              <w:t>,</w:t>
            </w:r>
            <w:r w:rsidRPr="00FD729C">
              <w:rPr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FD729C">
              <w:rPr>
                <w:sz w:val="24"/>
                <w:szCs w:val="24"/>
                <w:lang w:val="en-US" w:eastAsia="it-IT"/>
              </w:rPr>
              <w:t>mean ± SD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1.87±1.34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2.06±1.35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1.95±1.29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 xml:space="preserve">F=2.41, </w:t>
            </w:r>
            <w:r w:rsidRPr="00FD729C">
              <w:rPr>
                <w:i/>
                <w:iCs/>
                <w:sz w:val="24"/>
                <w:szCs w:val="24"/>
                <w:lang w:eastAsia="it-IT"/>
              </w:rPr>
              <w:t>p</w:t>
            </w:r>
            <w:r w:rsidRPr="00FD729C">
              <w:rPr>
                <w:sz w:val="24"/>
                <w:szCs w:val="24"/>
                <w:lang w:eastAsia="it-IT"/>
              </w:rPr>
              <w:t>=.09</w:t>
            </w:r>
          </w:p>
        </w:tc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  <w:proofErr w:type="spellStart"/>
            <w:r w:rsidRPr="00FD729C">
              <w:rPr>
                <w:b/>
                <w:bCs/>
                <w:sz w:val="24"/>
                <w:szCs w:val="24"/>
                <w:lang w:eastAsia="it-IT"/>
              </w:rPr>
              <w:t>History</w:t>
            </w:r>
            <w:proofErr w:type="spellEnd"/>
            <w:r w:rsidRPr="00FD729C">
              <w:rPr>
                <w:b/>
                <w:bCs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FD729C">
              <w:rPr>
                <w:b/>
                <w:bCs/>
                <w:sz w:val="24"/>
                <w:szCs w:val="24"/>
                <w:lang w:eastAsia="it-IT"/>
              </w:rPr>
              <w:t>depression</w:t>
            </w:r>
            <w:proofErr w:type="spellEnd"/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positive,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71 (21.98)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145 (22.91)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76 (25.76)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χ</w:t>
            </w:r>
            <w:r w:rsidRPr="00FD729C">
              <w:rPr>
                <w:sz w:val="24"/>
                <w:szCs w:val="24"/>
                <w:vertAlign w:val="superscript"/>
                <w:lang w:eastAsia="it-IT"/>
              </w:rPr>
              <w:t>2</w:t>
            </w:r>
            <w:r w:rsidRPr="00FD729C">
              <w:rPr>
                <w:sz w:val="24"/>
                <w:szCs w:val="24"/>
                <w:lang w:val="en-GB" w:eastAsia="it-IT"/>
              </w:rPr>
              <w:t>=1.37,</w:t>
            </w:r>
            <w:r w:rsidRPr="00FD729C">
              <w:rPr>
                <w:i/>
                <w:iCs/>
                <w:sz w:val="24"/>
                <w:szCs w:val="24"/>
                <w:lang w:eastAsia="it-IT"/>
              </w:rPr>
              <w:t xml:space="preserve"> p</w:t>
            </w:r>
            <w:r w:rsidRPr="00FD729C">
              <w:rPr>
                <w:sz w:val="24"/>
                <w:szCs w:val="24"/>
                <w:lang w:eastAsia="it-IT"/>
              </w:rPr>
              <w:t>=.51</w:t>
            </w:r>
          </w:p>
        </w:tc>
      </w:tr>
      <w:tr w:rsidR="006C41F5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727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negative,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252 (78.02)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488 (77.09)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219 (74.24)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</w:p>
        </w:tc>
      </w:tr>
      <w:tr w:rsidR="002C791B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  <w:r w:rsidRPr="00F445F3">
              <w:rPr>
                <w:b/>
                <w:bCs/>
                <w:sz w:val="24"/>
                <w:szCs w:val="24"/>
                <w:lang w:val="en-US" w:eastAsia="it-IT"/>
              </w:rPr>
              <w:t>Pharmacological</w:t>
            </w:r>
            <w:r w:rsidRPr="00F445F3">
              <w:rPr>
                <w:b/>
                <w:bCs/>
                <w:sz w:val="24"/>
                <w:szCs w:val="24"/>
                <w:lang w:eastAsia="it-IT"/>
              </w:rPr>
              <w:t xml:space="preserve"> treatment for </w:t>
            </w:r>
            <w:proofErr w:type="spellStart"/>
            <w:r w:rsidRPr="00FD729C">
              <w:rPr>
                <w:b/>
                <w:bCs/>
                <w:sz w:val="24"/>
                <w:szCs w:val="24"/>
                <w:lang w:eastAsia="it-IT"/>
              </w:rPr>
              <w:t>depression</w:t>
            </w:r>
            <w:proofErr w:type="spellEnd"/>
          </w:p>
        </w:tc>
        <w:tc>
          <w:tcPr>
            <w:tcW w:w="2727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no treatment,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265(78.17)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526 (79.70)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229 (76.08)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χ</w:t>
            </w:r>
            <w:r w:rsidRPr="00FD729C">
              <w:rPr>
                <w:sz w:val="24"/>
                <w:szCs w:val="24"/>
                <w:vertAlign w:val="superscript"/>
                <w:lang w:eastAsia="it-IT"/>
              </w:rPr>
              <w:t>2</w:t>
            </w:r>
            <w:r w:rsidRPr="00FD729C">
              <w:rPr>
                <w:sz w:val="24"/>
                <w:szCs w:val="24"/>
                <w:lang w:eastAsia="it-IT"/>
              </w:rPr>
              <w:t>=4.40,</w:t>
            </w:r>
            <w:r w:rsidRPr="00FD729C">
              <w:rPr>
                <w:i/>
                <w:iCs/>
                <w:sz w:val="24"/>
                <w:szCs w:val="24"/>
                <w:lang w:eastAsia="it-IT"/>
              </w:rPr>
              <w:t xml:space="preserve"> p</w:t>
            </w:r>
            <w:r w:rsidRPr="00FD729C">
              <w:rPr>
                <w:sz w:val="24"/>
                <w:szCs w:val="24"/>
                <w:lang w:eastAsia="it-IT"/>
              </w:rPr>
              <w:t>=.35</w:t>
            </w:r>
          </w:p>
        </w:tc>
      </w:tr>
      <w:tr w:rsidR="002C791B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val="en-US"/>
              </w:rPr>
              <w:t>anxiolytic</w:t>
            </w:r>
            <w:r w:rsidRPr="00FD729C">
              <w:rPr>
                <w:sz w:val="24"/>
                <w:szCs w:val="24"/>
                <w:lang w:eastAsia="it-IT"/>
              </w:rPr>
              <w:t xml:space="preserve"> treatment,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46 (13.57)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88 (13.33)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39 (12.96)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</w:p>
        </w:tc>
      </w:tr>
      <w:tr w:rsidR="002C791B" w:rsidRPr="00FD729C" w:rsidTr="002C791B">
        <w:trPr>
          <w:trHeight w:val="287"/>
        </w:trPr>
        <w:tc>
          <w:tcPr>
            <w:tcW w:w="2943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</w:p>
        </w:tc>
        <w:tc>
          <w:tcPr>
            <w:tcW w:w="2727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eastAsia="it-IT"/>
              </w:rPr>
            </w:pPr>
            <w:proofErr w:type="spellStart"/>
            <w:r w:rsidRPr="00FD729C">
              <w:rPr>
                <w:sz w:val="24"/>
                <w:szCs w:val="24"/>
                <w:lang w:eastAsia="it-IT"/>
              </w:rPr>
              <w:t>antidepressant</w:t>
            </w:r>
            <w:proofErr w:type="spellEnd"/>
            <w:r w:rsidRPr="00FD729C">
              <w:rPr>
                <w:sz w:val="24"/>
                <w:szCs w:val="24"/>
                <w:lang w:eastAsia="it-IT"/>
              </w:rPr>
              <w:t xml:space="preserve"> treatment, n (%)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28 (8.26)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46 (6.97)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eastAsia="it-IT"/>
              </w:rPr>
            </w:pPr>
            <w:r w:rsidRPr="00FD729C">
              <w:rPr>
                <w:sz w:val="24"/>
                <w:szCs w:val="24"/>
                <w:lang w:eastAsia="it-IT"/>
              </w:rPr>
              <w:t>33 (10.96)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color w:val="000000"/>
                <w:sz w:val="24"/>
                <w:szCs w:val="24"/>
                <w:lang w:eastAsia="it-IT"/>
              </w:rPr>
            </w:pPr>
          </w:p>
        </w:tc>
      </w:tr>
      <w:tr w:rsidR="006C41F5" w:rsidRPr="00FD729C" w:rsidTr="002C791B">
        <w:trPr>
          <w:trHeight w:val="287"/>
        </w:trPr>
        <w:tc>
          <w:tcPr>
            <w:tcW w:w="5670" w:type="dxa"/>
            <w:gridSpan w:val="2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b/>
                <w:bCs/>
                <w:sz w:val="24"/>
                <w:szCs w:val="24"/>
                <w:lang w:val="en-US" w:eastAsia="it-IT"/>
              </w:rPr>
              <w:t>Comorbidity index</w:t>
            </w:r>
            <w:r w:rsidRPr="00FD729C">
              <w:rPr>
                <w:sz w:val="24"/>
                <w:szCs w:val="24"/>
                <w:lang w:val="en-US" w:eastAsia="it-IT"/>
              </w:rPr>
              <w:t>, mean ± SD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2.18±1.48</w:t>
            </w:r>
          </w:p>
        </w:tc>
        <w:tc>
          <w:tcPr>
            <w:tcW w:w="1401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2.24±1.48</w:t>
            </w:r>
          </w:p>
        </w:tc>
        <w:tc>
          <w:tcPr>
            <w:tcW w:w="1328" w:type="dxa"/>
            <w:noWrap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>2.43±1.65</w:t>
            </w:r>
          </w:p>
        </w:tc>
        <w:tc>
          <w:tcPr>
            <w:tcW w:w="1201" w:type="dxa"/>
          </w:tcPr>
          <w:p w:rsidR="006C41F5" w:rsidRPr="00FD729C" w:rsidRDefault="006C41F5" w:rsidP="00E073BA">
            <w:pPr>
              <w:spacing w:before="240" w:after="60" w:line="360" w:lineRule="auto"/>
              <w:contextualSpacing/>
              <w:jc w:val="center"/>
              <w:rPr>
                <w:sz w:val="24"/>
                <w:szCs w:val="24"/>
                <w:lang w:val="en-US" w:eastAsia="it-IT"/>
              </w:rPr>
            </w:pPr>
            <w:r w:rsidRPr="00FD729C">
              <w:rPr>
                <w:sz w:val="24"/>
                <w:szCs w:val="24"/>
                <w:lang w:val="en-US" w:eastAsia="it-IT"/>
              </w:rPr>
              <w:t xml:space="preserve">F=2.25, </w:t>
            </w:r>
            <w:r w:rsidRPr="00FD729C">
              <w:rPr>
                <w:i/>
                <w:iCs/>
                <w:sz w:val="24"/>
                <w:szCs w:val="24"/>
                <w:lang w:val="en-US" w:eastAsia="it-IT"/>
              </w:rPr>
              <w:lastRenderedPageBreak/>
              <w:t>p</w:t>
            </w:r>
            <w:r w:rsidRPr="00FD729C">
              <w:rPr>
                <w:sz w:val="24"/>
                <w:szCs w:val="24"/>
                <w:lang w:val="en-US" w:eastAsia="it-IT"/>
              </w:rPr>
              <w:t>=.11</w:t>
            </w:r>
          </w:p>
        </w:tc>
      </w:tr>
    </w:tbl>
    <w:p w:rsidR="007356C2" w:rsidRDefault="007356C2" w:rsidP="002C791B">
      <w:pPr>
        <w:suppressLineNumbers/>
      </w:pPr>
    </w:p>
    <w:sectPr w:rsidR="007356C2" w:rsidSect="00170E74">
      <w:pgSz w:w="12240" w:h="15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6"/>
    <w:rsid w:val="00030DD0"/>
    <w:rsid w:val="00134EED"/>
    <w:rsid w:val="001C5885"/>
    <w:rsid w:val="002C791B"/>
    <w:rsid w:val="006C41F5"/>
    <w:rsid w:val="007356C2"/>
    <w:rsid w:val="00B52A81"/>
    <w:rsid w:val="00C844F6"/>
    <w:rsid w:val="00D66C15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C844F6"/>
  </w:style>
  <w:style w:type="character" w:customStyle="1" w:styleId="hps">
    <w:name w:val="hps"/>
    <w:uiPriority w:val="99"/>
    <w:rsid w:val="00D66C15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59"/>
    <w:rsid w:val="000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C844F6"/>
  </w:style>
  <w:style w:type="character" w:customStyle="1" w:styleId="hps">
    <w:name w:val="hps"/>
    <w:uiPriority w:val="99"/>
    <w:rsid w:val="00D66C15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59"/>
    <w:rsid w:val="000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9</cp:revision>
  <cp:lastPrinted>2015-09-25T08:54:00Z</cp:lastPrinted>
  <dcterms:created xsi:type="dcterms:W3CDTF">2015-09-24T13:30:00Z</dcterms:created>
  <dcterms:modified xsi:type="dcterms:W3CDTF">2015-11-09T13:16:00Z</dcterms:modified>
</cp:coreProperties>
</file>