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C2B" w:rsidRDefault="00EF0C2B" w:rsidP="00F95111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F0C2B">
        <w:rPr>
          <w:rFonts w:ascii="Times New Roman" w:hAnsi="Times New Roman" w:cs="Times New Roman"/>
          <w:b/>
          <w:sz w:val="24"/>
          <w:szCs w:val="24"/>
          <w:lang w:val="en-GB"/>
        </w:rPr>
        <w:t>Supplementary</w:t>
      </w:r>
      <w:r w:rsidRPr="00EF0C2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6280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F0C2B">
        <w:rPr>
          <w:rFonts w:ascii="Times New Roman" w:hAnsi="Times New Roman" w:cs="Times New Roman"/>
          <w:b/>
          <w:sz w:val="24"/>
          <w:szCs w:val="24"/>
          <w:lang w:val="en-US"/>
        </w:rPr>
        <w:t>nformation</w:t>
      </w:r>
    </w:p>
    <w:p w:rsidR="0094611E" w:rsidRPr="00247005" w:rsidRDefault="0094611E" w:rsidP="00F95111">
      <w:pPr>
        <w:jc w:val="both"/>
        <w:rPr>
          <w:rFonts w:ascii="Times New Roman" w:hAnsi="Times New Roman" w:cs="Times New Roman"/>
          <w:b/>
          <w:sz w:val="24"/>
          <w:szCs w:val="24"/>
          <w:highlight w:val="yellow"/>
          <w:lang w:val="en-GB"/>
        </w:rPr>
      </w:pPr>
      <w:bookmarkStart w:id="0" w:name="_GoBack"/>
      <w:r w:rsidRPr="00247005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en-US" w:eastAsia="de-DE"/>
        </w:rPr>
        <w:t>Table S1 Distribution of animals</w:t>
      </w:r>
    </w:p>
    <w:p w:rsidR="00EF0C2B" w:rsidRPr="00247005" w:rsidRDefault="00EF0C2B" w:rsidP="00F95111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Images obtained from different strains of animals were used for the analysis of the hepatic vascular tree. </w:t>
      </w:r>
      <w:r w:rsidR="0046280C"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Our goal was</w:t>
      </w: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to identify key variants with potential surgical relevance. </w:t>
      </w:r>
    </w:p>
    <w:p w:rsidR="00EF0C2B" w:rsidRPr="00247005" w:rsidRDefault="00EF0C2B" w:rsidP="00F95111">
      <w:pPr>
        <w:jc w:val="both"/>
        <w:rPr>
          <w:rFonts w:ascii="Times New Roman" w:hAnsi="Times New Roman" w:cs="Times New Roman"/>
          <w:sz w:val="24"/>
          <w:szCs w:val="24"/>
          <w:highlight w:val="yellow"/>
          <w:lang w:val="en-GB"/>
        </w:rPr>
      </w:pP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Based on the assumption that visualization of anatomical variants of the major lobar branches is related to the resolution of the imaging technique but independent </w:t>
      </w:r>
      <w:r w:rsidR="0046280C"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of</w:t>
      </w: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the imaging modality, this approach seemed reasonable. </w:t>
      </w:r>
    </w:p>
    <w:p w:rsidR="00E32584" w:rsidRPr="0094611E" w:rsidRDefault="00EF0C2B" w:rsidP="0094611E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Therefore images from different strains and different </w:t>
      </w:r>
      <w:r w:rsidR="00A052BE">
        <w:rPr>
          <w:rFonts w:ascii="Times New Roman" w:hAnsi="Times New Roman" w:cs="Times New Roman"/>
          <w:sz w:val="24"/>
          <w:szCs w:val="24"/>
          <w:highlight w:val="yellow"/>
          <w:lang w:val="en-GB"/>
        </w:rPr>
        <w:t>casting</w:t>
      </w:r>
      <w:r w:rsidRPr="00247005">
        <w:rPr>
          <w:rFonts w:ascii="Times New Roman" w:hAnsi="Times New Roman" w:cs="Times New Roman"/>
          <w:sz w:val="24"/>
          <w:szCs w:val="24"/>
          <w:highlight w:val="yellow"/>
          <w:lang w:val="en-GB"/>
        </w:rPr>
        <w:t xml:space="preserve"> modalities (Table S1) were included in the analysis.</w:t>
      </w:r>
    </w:p>
    <w:bookmarkEnd w:id="0"/>
    <w:tbl>
      <w:tblPr>
        <w:tblStyle w:val="Tabellenraster"/>
        <w:tblW w:w="8430" w:type="dxa"/>
        <w:tblLayout w:type="fixed"/>
        <w:tblLook w:val="04A0" w:firstRow="1" w:lastRow="0" w:firstColumn="1" w:lastColumn="0" w:noHBand="0" w:noVBand="1"/>
      </w:tblPr>
      <w:tblGrid>
        <w:gridCol w:w="1765"/>
        <w:gridCol w:w="583"/>
        <w:gridCol w:w="997"/>
        <w:gridCol w:w="666"/>
        <w:gridCol w:w="706"/>
        <w:gridCol w:w="583"/>
        <w:gridCol w:w="1047"/>
        <w:gridCol w:w="616"/>
        <w:gridCol w:w="706"/>
        <w:gridCol w:w="761"/>
      </w:tblGrid>
      <w:tr w:rsidR="00F002F8" w:rsidRPr="00EF0C2B" w:rsidTr="00F002F8"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952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Rat strain</w:t>
            </w:r>
          </w:p>
        </w:tc>
        <w:tc>
          <w:tcPr>
            <w:tcW w:w="2952" w:type="dxa"/>
            <w:gridSpan w:val="4"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Mouse strain</w:t>
            </w:r>
          </w:p>
        </w:tc>
        <w:tc>
          <w:tcPr>
            <w:tcW w:w="761" w:type="dxa"/>
            <w:vMerge w:val="restart"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SUM</w:t>
            </w:r>
          </w:p>
        </w:tc>
      </w:tr>
      <w:tr w:rsidR="00F002F8" w:rsidRPr="00EF0C2B" w:rsidTr="00F002F8">
        <w:trPr>
          <w:trHeight w:val="256"/>
        </w:trPr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LEWIS</w:t>
            </w:r>
          </w:p>
        </w:tc>
        <w:tc>
          <w:tcPr>
            <w:tcW w:w="2952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C57Bl/6N</w:t>
            </w:r>
          </w:p>
        </w:tc>
        <w:tc>
          <w:tcPr>
            <w:tcW w:w="761" w:type="dxa"/>
            <w:vMerge/>
            <w:tcBorders>
              <w:left w:val="single" w:sz="18" w:space="0" w:color="auto"/>
            </w:tcBorders>
            <w:shd w:val="clear" w:color="auto" w:fill="A6A6A6" w:themeFill="background1" w:themeFillShade="A6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F002F8" w:rsidRPr="00EF0C2B" w:rsidTr="00F002F8">
        <w:tc>
          <w:tcPr>
            <w:tcW w:w="1765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PV</w:t>
            </w:r>
          </w:p>
        </w:tc>
        <w:tc>
          <w:tcPr>
            <w:tcW w:w="99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PV+HV</w:t>
            </w:r>
          </w:p>
        </w:tc>
        <w:tc>
          <w:tcPr>
            <w:tcW w:w="6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 xml:space="preserve">HV 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Sum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PV</w:t>
            </w:r>
          </w:p>
        </w:tc>
        <w:tc>
          <w:tcPr>
            <w:tcW w:w="104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 xml:space="preserve">PV+HV </w:t>
            </w:r>
          </w:p>
        </w:tc>
        <w:tc>
          <w:tcPr>
            <w:tcW w:w="61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HV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Sum</w:t>
            </w:r>
          </w:p>
        </w:tc>
        <w:tc>
          <w:tcPr>
            <w:tcW w:w="761" w:type="dxa"/>
            <w:vMerge/>
            <w:tcBorders>
              <w:left w:val="single" w:sz="18" w:space="0" w:color="auto"/>
              <w:bottom w:val="single" w:sz="12" w:space="0" w:color="auto"/>
            </w:tcBorders>
            <w:shd w:val="clear" w:color="auto" w:fill="A6A6A6" w:themeFill="background1" w:themeFillShade="A6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</w:p>
        </w:tc>
      </w:tr>
      <w:tr w:rsidR="00F002F8" w:rsidRPr="00EF0C2B" w:rsidTr="00F002F8">
        <w:trPr>
          <w:trHeight w:val="428"/>
        </w:trPr>
        <w:tc>
          <w:tcPr>
            <w:tcW w:w="1765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Ex-vivo µCT: Batson #17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3</w:t>
            </w:r>
          </w:p>
        </w:tc>
        <w:tc>
          <w:tcPr>
            <w:tcW w:w="99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66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7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1047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61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7</w:t>
            </w:r>
          </w:p>
        </w:tc>
      </w:tr>
      <w:tr w:rsidR="00F002F8" w:rsidRPr="00EF0C2B" w:rsidTr="00F002F8">
        <w:tc>
          <w:tcPr>
            <w:tcW w:w="1765" w:type="dxa"/>
            <w:tcBorders>
              <w:righ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 xml:space="preserve">Ex-vivo µCT: </w:t>
            </w:r>
            <w:proofErr w:type="spellStart"/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Microfil</w:t>
            </w:r>
            <w:proofErr w:type="spellEnd"/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®</w:t>
            </w:r>
          </w:p>
        </w:tc>
        <w:tc>
          <w:tcPr>
            <w:tcW w:w="583" w:type="dxa"/>
            <w:tcBorders>
              <w:lef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4</w:t>
            </w:r>
          </w:p>
        </w:tc>
        <w:tc>
          <w:tcPr>
            <w:tcW w:w="997" w:type="dxa"/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11</w:t>
            </w:r>
          </w:p>
        </w:tc>
        <w:tc>
          <w:tcPr>
            <w:tcW w:w="66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15</w:t>
            </w:r>
          </w:p>
        </w:tc>
        <w:tc>
          <w:tcPr>
            <w:tcW w:w="583" w:type="dxa"/>
            <w:tcBorders>
              <w:left w:val="single" w:sz="18" w:space="0" w:color="auto"/>
            </w:tcBorders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12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61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14</w:t>
            </w:r>
          </w:p>
        </w:tc>
        <w:tc>
          <w:tcPr>
            <w:tcW w:w="70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26</w:t>
            </w:r>
          </w:p>
        </w:tc>
        <w:tc>
          <w:tcPr>
            <w:tcW w:w="761" w:type="dxa"/>
            <w:tcBorders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41</w:t>
            </w:r>
          </w:p>
        </w:tc>
      </w:tr>
      <w:tr w:rsidR="00F002F8" w:rsidRPr="00EF0C2B" w:rsidTr="00F002F8">
        <w:trPr>
          <w:trHeight w:val="248"/>
        </w:trPr>
        <w:tc>
          <w:tcPr>
            <w:tcW w:w="176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F002F8" w:rsidRPr="00247005" w:rsidRDefault="00F002F8" w:rsidP="00587193">
            <w:pPr>
              <w:spacing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Sum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7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11</w:t>
            </w:r>
          </w:p>
        </w:tc>
        <w:tc>
          <w:tcPr>
            <w:tcW w:w="66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22</w:t>
            </w:r>
          </w:p>
        </w:tc>
        <w:tc>
          <w:tcPr>
            <w:tcW w:w="583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12</w:t>
            </w:r>
          </w:p>
        </w:tc>
        <w:tc>
          <w:tcPr>
            <w:tcW w:w="1047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0</w:t>
            </w:r>
          </w:p>
        </w:tc>
        <w:tc>
          <w:tcPr>
            <w:tcW w:w="616" w:type="dxa"/>
            <w:tcBorders>
              <w:top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val="en-US" w:eastAsia="de-DE"/>
              </w:rPr>
              <w:t>14</w:t>
            </w:r>
          </w:p>
        </w:tc>
        <w:tc>
          <w:tcPr>
            <w:tcW w:w="706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26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F002F8" w:rsidRPr="00247005" w:rsidRDefault="00F002F8" w:rsidP="00587193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</w:pPr>
            <w:r w:rsidRPr="00247005">
              <w:rPr>
                <w:rFonts w:ascii="Times New Roman" w:eastAsia="Times New Roman" w:hAnsi="Times New Roman" w:cs="Times New Roman"/>
                <w:b/>
                <w:sz w:val="20"/>
                <w:szCs w:val="20"/>
                <w:highlight w:val="yellow"/>
                <w:lang w:val="en-US" w:eastAsia="de-DE"/>
              </w:rPr>
              <w:t>48</w:t>
            </w:r>
          </w:p>
        </w:tc>
      </w:tr>
    </w:tbl>
    <w:p w:rsidR="00EF0C2B" w:rsidRDefault="00EF0C2B" w:rsidP="00A825D4">
      <w:pPr>
        <w:rPr>
          <w:lang w:val="en-GB"/>
        </w:rPr>
      </w:pPr>
    </w:p>
    <w:p w:rsidR="00E32584" w:rsidRPr="00E32584" w:rsidRDefault="00E32584" w:rsidP="00E32584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32584">
        <w:rPr>
          <w:rFonts w:ascii="Times New Roman" w:hAnsi="Times New Roman" w:cs="Times New Roman"/>
          <w:sz w:val="24"/>
          <w:szCs w:val="24"/>
        </w:rPr>
        <w:t>Literature</w:t>
      </w:r>
      <w:proofErr w:type="spellEnd"/>
    </w:p>
    <w:p w:rsidR="00E32584" w:rsidRPr="00E32584" w:rsidRDefault="001367AE" w:rsidP="00E3258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>[1</w:t>
      </w:r>
      <w:r w:rsidR="00A618D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] </w:t>
      </w:r>
      <w:hyperlink r:id="rId7" w:history="1"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Dahmen U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Radtke A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Schröder T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Chi H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proofErr w:type="spellStart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Madrahimov</w:t>
        </w:r>
        <w:proofErr w:type="spellEnd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N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proofErr w:type="spellStart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Lu</w:t>
        </w:r>
        <w:proofErr w:type="spellEnd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M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Schenk A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proofErr w:type="spellStart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Peitgen</w:t>
        </w:r>
        <w:proofErr w:type="spellEnd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KH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proofErr w:type="spellStart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Dirsch</w:t>
        </w:r>
        <w:proofErr w:type="spellEnd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O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. </w:t>
      </w:r>
      <w:r w:rsidR="00E32584" w:rsidRPr="00E32584">
        <w:rPr>
          <w:rFonts w:ascii="Times New Roman" w:hAnsi="Times New Roman" w:cs="Times New Roman"/>
          <w:sz w:val="24"/>
          <w:szCs w:val="24"/>
          <w:lang w:val="en-US"/>
        </w:rPr>
        <w:t>Median liver lobe of woodchuck as a model to study hepatic outflow obstruction: a pilot study.</w:t>
      </w:r>
      <w:r w:rsidR="00E32584" w:rsidRPr="00E32584">
        <w:rPr>
          <w:rFonts w:ascii="Times New Roman" w:hAnsi="Times New Roman" w:cs="Times New Roman"/>
          <w:lang w:val="en-US"/>
        </w:rPr>
        <w:t xml:space="preserve"> </w:t>
      </w:r>
      <w:hyperlink r:id="rId16" w:tooltip="Liver international : official journal of the International Association for the Study of the Liver." w:history="1">
        <w:proofErr w:type="spellStart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Liver</w:t>
        </w:r>
        <w:proofErr w:type="spellEnd"/>
        <w:r w:rsidR="00E32584" w:rsidRPr="00E32584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Int.</w:t>
        </w:r>
      </w:hyperlink>
      <w:r w:rsidR="00E32584" w:rsidRPr="00E32584">
        <w:rPr>
          <w:rFonts w:ascii="Times New Roman" w:hAnsi="Times New Roman" w:cs="Times New Roman"/>
          <w:sz w:val="24"/>
          <w:szCs w:val="24"/>
        </w:rPr>
        <w:t xml:space="preserve"> 2008 Nov;28(9):1236-44.</w:t>
      </w:r>
    </w:p>
    <w:p w:rsidR="00E32584" w:rsidRPr="00EF0C2B" w:rsidRDefault="00E32584" w:rsidP="00A825D4">
      <w:pPr>
        <w:rPr>
          <w:lang w:val="en-GB"/>
        </w:rPr>
      </w:pPr>
    </w:p>
    <w:sectPr w:rsidR="00E32584" w:rsidRPr="00EF0C2B" w:rsidSect="004068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5D4" w:rsidRDefault="00A825D4" w:rsidP="00A825D4">
      <w:pPr>
        <w:spacing w:after="0" w:line="240" w:lineRule="auto"/>
      </w:pPr>
      <w:r>
        <w:separator/>
      </w:r>
    </w:p>
  </w:endnote>
  <w:endnote w:type="continuationSeparator" w:id="0">
    <w:p w:rsidR="00A825D4" w:rsidRDefault="00A825D4" w:rsidP="00A82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5D4" w:rsidRDefault="00A825D4" w:rsidP="00A825D4">
      <w:pPr>
        <w:spacing w:after="0" w:line="240" w:lineRule="auto"/>
      </w:pPr>
      <w:r>
        <w:separator/>
      </w:r>
    </w:p>
  </w:footnote>
  <w:footnote w:type="continuationSeparator" w:id="0">
    <w:p w:rsidR="00A825D4" w:rsidRDefault="00A825D4" w:rsidP="00A82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2B"/>
    <w:rsid w:val="001367AE"/>
    <w:rsid w:val="00247005"/>
    <w:rsid w:val="0040689C"/>
    <w:rsid w:val="0046280C"/>
    <w:rsid w:val="004A514E"/>
    <w:rsid w:val="004B160A"/>
    <w:rsid w:val="004B30D1"/>
    <w:rsid w:val="004F4E8D"/>
    <w:rsid w:val="005E5FC5"/>
    <w:rsid w:val="007E3B71"/>
    <w:rsid w:val="008B7574"/>
    <w:rsid w:val="008C74EA"/>
    <w:rsid w:val="0094611E"/>
    <w:rsid w:val="009C38C4"/>
    <w:rsid w:val="00A052BE"/>
    <w:rsid w:val="00A618DB"/>
    <w:rsid w:val="00A825D4"/>
    <w:rsid w:val="00AE1E32"/>
    <w:rsid w:val="00B62D80"/>
    <w:rsid w:val="00D80BBE"/>
    <w:rsid w:val="00E32584"/>
    <w:rsid w:val="00EC54CC"/>
    <w:rsid w:val="00EC63BC"/>
    <w:rsid w:val="00EF0C2B"/>
    <w:rsid w:val="00F002F8"/>
    <w:rsid w:val="00F9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C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D4"/>
  </w:style>
  <w:style w:type="paragraph" w:styleId="Fuzeile">
    <w:name w:val="footer"/>
    <w:basedOn w:val="Standard"/>
    <w:link w:val="FuzeileZchn"/>
    <w:uiPriority w:val="99"/>
    <w:unhideWhenUsed/>
    <w:rsid w:val="00A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D4"/>
  </w:style>
  <w:style w:type="character" w:styleId="Hyperlink">
    <w:name w:val="Hyperlink"/>
    <w:basedOn w:val="Absatz-Standardschriftart"/>
    <w:uiPriority w:val="99"/>
    <w:semiHidden/>
    <w:unhideWhenUsed/>
    <w:rsid w:val="00E325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F0C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0C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0C2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5D4"/>
  </w:style>
  <w:style w:type="paragraph" w:styleId="Fuzeile">
    <w:name w:val="footer"/>
    <w:basedOn w:val="Standard"/>
    <w:link w:val="FuzeileZchn"/>
    <w:uiPriority w:val="99"/>
    <w:unhideWhenUsed/>
    <w:rsid w:val="00A82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5D4"/>
  </w:style>
  <w:style w:type="character" w:styleId="Hyperlink">
    <w:name w:val="Hyperlink"/>
    <w:basedOn w:val="Absatz-Standardschriftart"/>
    <w:uiPriority w:val="99"/>
    <w:semiHidden/>
    <w:unhideWhenUsed/>
    <w:rsid w:val="00E325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/?term=Radtke%20A%5BAuthor%5D&amp;cauthor=true&amp;cauthor_uid=18544125" TargetMode="External"/><Relationship Id="rId13" Type="http://schemas.openxmlformats.org/officeDocument/2006/relationships/hyperlink" Target="http://www.ncbi.nlm.nih.gov/pubmed/?term=Schenk%20A%5BAuthor%5D&amp;cauthor=true&amp;cauthor_uid=1854412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/?term=Dahmen%20U%5BAuthor%5D&amp;cauthor=true&amp;cauthor_uid=18544125" TargetMode="External"/><Relationship Id="rId12" Type="http://schemas.openxmlformats.org/officeDocument/2006/relationships/hyperlink" Target="http://www.ncbi.nlm.nih.gov/pubmed/?term=Lu%20M%5BAuthor%5D&amp;cauthor=true&amp;cauthor_uid=1854412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ncbi.nlm.nih.gov/pubmed/18544125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ncbi.nlm.nih.gov/pubmed/?term=Madrahimov%20N%5BAuthor%5D&amp;cauthor=true&amp;cauthor_uid=18544125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ncbi.nlm.nih.gov/pubmed/?term=Dirsch%20O%5BAuthor%5D&amp;cauthor=true&amp;cauthor_uid=18544125" TargetMode="External"/><Relationship Id="rId10" Type="http://schemas.openxmlformats.org/officeDocument/2006/relationships/hyperlink" Target="http://www.ncbi.nlm.nih.gov/pubmed/?term=Chi%20H%5BAuthor%5D&amp;cauthor=true&amp;cauthor_uid=185441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?term=Schr%C3%B6der%20T%5BAuthor%5D&amp;cauthor=true&amp;cauthor_uid=18544125" TargetMode="External"/><Relationship Id="rId14" Type="http://schemas.openxmlformats.org/officeDocument/2006/relationships/hyperlink" Target="http://www.ncbi.nlm.nih.gov/pubmed/?term=Peitgen%20KH%5BAuthor%5D&amp;cauthor=true&amp;cauthor_uid=185441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Universitätsklinikum Jena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Constanze Sänger</dc:creator>
  <cp:lastModifiedBy>Constanze Sänger</cp:lastModifiedBy>
  <cp:revision>2</cp:revision>
  <cp:lastPrinted>2015-03-03T12:01:00Z</cp:lastPrinted>
  <dcterms:created xsi:type="dcterms:W3CDTF">2015-09-10T08:53:00Z</dcterms:created>
  <dcterms:modified xsi:type="dcterms:W3CDTF">2015-09-10T08:53:00Z</dcterms:modified>
</cp:coreProperties>
</file>