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59B84" w14:textId="77777777" w:rsidR="00027335" w:rsidRPr="004C6483" w:rsidRDefault="00027335" w:rsidP="004C6483">
      <w:pPr>
        <w:spacing w:line="480" w:lineRule="auto"/>
        <w:jc w:val="both"/>
        <w:rPr>
          <w:rFonts w:ascii="Times" w:hAnsi="Times"/>
          <w:b/>
        </w:rPr>
      </w:pPr>
      <w:r w:rsidRPr="004C6483">
        <w:rPr>
          <w:rFonts w:ascii="Times" w:hAnsi="Times"/>
          <w:b/>
        </w:rPr>
        <w:t>Supplementary Methods</w:t>
      </w:r>
    </w:p>
    <w:p w14:paraId="285BE973" w14:textId="77777777" w:rsidR="00027335" w:rsidRPr="004C6483" w:rsidRDefault="00027335" w:rsidP="004C6483">
      <w:pPr>
        <w:spacing w:line="480" w:lineRule="auto"/>
        <w:jc w:val="both"/>
        <w:rPr>
          <w:rFonts w:ascii="Times" w:hAnsi="Times"/>
          <w:b/>
        </w:rPr>
      </w:pPr>
    </w:p>
    <w:p w14:paraId="6917BA17" w14:textId="77777777" w:rsidR="00027335" w:rsidRPr="004C6483" w:rsidRDefault="00027335" w:rsidP="004C6483">
      <w:pPr>
        <w:spacing w:line="480" w:lineRule="auto"/>
        <w:jc w:val="both"/>
        <w:rPr>
          <w:rFonts w:ascii="Times" w:hAnsi="Times"/>
          <w:i/>
        </w:rPr>
      </w:pPr>
      <w:r w:rsidRPr="004C6483">
        <w:rPr>
          <w:rFonts w:ascii="Times" w:hAnsi="Times"/>
          <w:i/>
        </w:rPr>
        <w:t>Cell lines</w:t>
      </w:r>
    </w:p>
    <w:p w14:paraId="4E4AF1FA" w14:textId="13543D3B" w:rsidR="00027335" w:rsidRPr="004C6483" w:rsidRDefault="00027335" w:rsidP="004C6483">
      <w:pPr>
        <w:spacing w:line="480" w:lineRule="auto"/>
        <w:ind w:firstLine="720"/>
        <w:jc w:val="both"/>
        <w:rPr>
          <w:rFonts w:ascii="Times" w:hAnsi="Times"/>
        </w:rPr>
      </w:pPr>
      <w:r w:rsidRPr="004C6483">
        <w:rPr>
          <w:rFonts w:ascii="Times" w:hAnsi="Times"/>
        </w:rPr>
        <w:t xml:space="preserve">RPE-1, U-2-OS, MDA-MB-436, DU-145, HelaSF, RPMI-7951, HRC575, NCI-H2342, CAPAN-1, A673, MHH-ES-1, MC-IXC, SK-ES-1, SK-NEP-1, SK-PN-DW, TC-71 and CADO-ES1 human cell lines were purchased from commercial vendors. ES1, ES3, </w:t>
      </w:r>
      <w:r w:rsidR="00663923">
        <w:rPr>
          <w:rFonts w:ascii="Times" w:hAnsi="Times"/>
        </w:rPr>
        <w:t xml:space="preserve">ES4, ES5, ES6, ES7, ES8 </w:t>
      </w:r>
      <w:bookmarkStart w:id="0" w:name="_GoBack"/>
      <w:bookmarkEnd w:id="0"/>
      <w:r w:rsidRPr="004C6483">
        <w:rPr>
          <w:rFonts w:ascii="Times" w:hAnsi="Times"/>
        </w:rPr>
        <w:t>and RH-1 were kindly donated by Susan Ragsdale and EW-1, EW-3, EW-7, EW-11, EW-13, EW-16, EW-18, EW-22 and EW-24 by Professor Gilbert Lenoir. Cell lines were cultured in DMEM/F12 (MDA-MB-436, DU-145, A673, RPE-1, NCI-H2342, CAPAN-1, MC-IXC, SK-PN-DW, TC-71 and HelaSF) or RPMI (ES7, ES8, MHH-ES-1, U-2-OS, HRC575, RPMI-7951, ES1, ES3, ES4, ES5, ES6, EW-1, EW-3, EW-7, EW-11, EW-13, EW-16, EW-18, EW-22, EW-24, RH-1, SK-ES-1, SK-NEP-1, CADO-ES-1) medium supplemented with 5% FBS (or 10% for HRC575 and RPE-1) and penicillin/streptomycin, and maintained at 37</w:t>
      </w:r>
      <w:r w:rsidRPr="004C6483">
        <w:rPr>
          <w:rFonts w:ascii="Times" w:hAnsi="Times"/>
          <w:vertAlign w:val="superscript"/>
        </w:rPr>
        <w:t>o</w:t>
      </w:r>
      <w:r w:rsidRPr="004C6483">
        <w:rPr>
          <w:rFonts w:ascii="Times" w:hAnsi="Times"/>
        </w:rPr>
        <w:t>C in a humidified atmosphere at 5% CO</w:t>
      </w:r>
      <w:r w:rsidRPr="004C6483">
        <w:rPr>
          <w:rFonts w:ascii="Times" w:hAnsi="Times"/>
          <w:vertAlign w:val="subscript"/>
        </w:rPr>
        <w:t>2</w:t>
      </w:r>
      <w:r w:rsidRPr="004C6483">
        <w:rPr>
          <w:rFonts w:ascii="Times" w:hAnsi="Times"/>
        </w:rPr>
        <w:t>. OLAR5 cells were grown as parental ES8 cells but in the presence of 5</w:t>
      </w:r>
      <w:r w:rsidRPr="004C6483">
        <w:rPr>
          <w:rFonts w:ascii="Times" w:hAnsi="Times" w:cs="Arial"/>
        </w:rPr>
        <w:t>μ</w:t>
      </w:r>
      <w:r w:rsidRPr="004C6483">
        <w:rPr>
          <w:rFonts w:ascii="Times" w:hAnsi="Times"/>
        </w:rPr>
        <w:t>M olaparib. Cell lines were propagated every 3-4 days. All cell lines, including OLAR5 cells, were SNP- and STR-profiled to exclude cross-contamination as previously described</w:t>
      </w:r>
      <w:r w:rsidR="003418D1" w:rsidRPr="004C6483">
        <w:rPr>
          <w:rFonts w:ascii="Times" w:hAnsi="Times"/>
        </w:rPr>
        <w:t>(7)</w:t>
      </w:r>
      <w:r w:rsidRPr="004C6483">
        <w:rPr>
          <w:rFonts w:ascii="Times" w:hAnsi="Times"/>
        </w:rPr>
        <w:t>. Complete cell line information is available on COSMIC (http://cancer.sanger.ac.uk/cancergenome/projects/cosmic/).</w:t>
      </w:r>
    </w:p>
    <w:p w14:paraId="2C31D3B2" w14:textId="77777777" w:rsidR="00027335" w:rsidRPr="004C6483" w:rsidRDefault="00027335" w:rsidP="004C6483">
      <w:pPr>
        <w:spacing w:line="480" w:lineRule="auto"/>
        <w:jc w:val="both"/>
        <w:rPr>
          <w:rFonts w:ascii="Times" w:hAnsi="Times"/>
        </w:rPr>
      </w:pPr>
    </w:p>
    <w:p w14:paraId="0E931F45" w14:textId="77777777" w:rsidR="00027335" w:rsidRPr="004C6483" w:rsidRDefault="00027335" w:rsidP="004C6483">
      <w:pPr>
        <w:spacing w:line="480" w:lineRule="auto"/>
        <w:jc w:val="both"/>
        <w:rPr>
          <w:rFonts w:ascii="Times" w:hAnsi="Times"/>
          <w:i/>
        </w:rPr>
      </w:pPr>
      <w:r w:rsidRPr="004C6483">
        <w:rPr>
          <w:rFonts w:ascii="Times" w:hAnsi="Times"/>
          <w:i/>
        </w:rPr>
        <w:t>Western blotting and immunoprecipitation</w:t>
      </w:r>
    </w:p>
    <w:p w14:paraId="3D23581C" w14:textId="590533D4" w:rsidR="00027335" w:rsidRPr="004C6483" w:rsidRDefault="00027335" w:rsidP="004C6483">
      <w:pPr>
        <w:spacing w:line="480" w:lineRule="auto"/>
        <w:ind w:firstLine="720"/>
        <w:jc w:val="both"/>
        <w:rPr>
          <w:rFonts w:ascii="Times" w:hAnsi="Times"/>
        </w:rPr>
      </w:pPr>
      <w:r w:rsidRPr="004C6483">
        <w:rPr>
          <w:rFonts w:ascii="Times" w:hAnsi="Times"/>
        </w:rPr>
        <w:t>Cells were plated at a density of 1.5-3x10</w:t>
      </w:r>
      <w:r w:rsidRPr="004C6483">
        <w:rPr>
          <w:rFonts w:ascii="Times" w:hAnsi="Times"/>
          <w:vertAlign w:val="superscript"/>
        </w:rPr>
        <w:t>5</w:t>
      </w:r>
      <w:r w:rsidRPr="004C6483">
        <w:rPr>
          <w:rFonts w:ascii="Times" w:hAnsi="Times"/>
        </w:rPr>
        <w:t xml:space="preserve"> cells in 6-well plates in complete growth medium. Cells were treated with drug as indicated and lysates prepared in NP40 extraction buffer supplemented with phosphatase and protease inhibitor </w:t>
      </w:r>
      <w:r w:rsidRPr="004C6483">
        <w:rPr>
          <w:rFonts w:ascii="Times" w:hAnsi="Times"/>
        </w:rPr>
        <w:lastRenderedPageBreak/>
        <w:t>cocktails (Sigma and Cell Signaling) or a cellular sub-fractionation assay performed using a kit (Thermo Fisher Scientific) as per manufacturers instructions. The concentration of protein cell lysates was determined by protein assay using purified bovine serum albumin (BSA) as a standard according to manufacturer’s instructions (Bio-Rad Laboratories). Lysates were subjected to SDS-PAGE electrophoresis and western botted with the following antibodies: phospho-CHK2 (T68), anti-phospho-CHK1 (S345; 133D3), anti-γH2AX (S139) and anti-53BP1 from Cell Signaling, anti-phospho-ATM (S1981) from Epitomics, anti-phospho-KAP1 (S824) and anti-phospho-RPA (S4/8) from Bethyl Laboratories, anti-phospho-KAP1 (S473) from BioLegend, anti-H3 and anti-GAPDH from Millipore, anti-MRE11 and anti-RPA from Abcam and anti-PARP1, anti-CHK1, anti-CHK2, anti-ATR and anti-ATM from Santa Cruz Biotechnologies and anti-tubulin from Sigma. BRCA1/2 immunoprecipitation was performed from 300μl NP40 cell lysates from three 10cm Petri dishes. BRCA1 was immunoprecipitated using 5μg of anti-BRCA1 (C-20) antibody from Santa Cruz Biotechnologies and BRCA2 using 5μg of anti-BRCA2 (Ab-1) antibody from Calbiochem. The antibody-protein complex was captured using 20μl of a 1:1 mix of protein G sepharose 4B beads (Sigma) in PBS and</w:t>
      </w:r>
      <w:r w:rsidR="00F354A6" w:rsidRPr="004C6483">
        <w:rPr>
          <w:rFonts w:ascii="Times" w:hAnsi="Times"/>
        </w:rPr>
        <w:t xml:space="preserve"> immunoprecipitates mixed for 2h </w:t>
      </w:r>
      <w:r w:rsidRPr="004C6483">
        <w:rPr>
          <w:rFonts w:ascii="Times" w:hAnsi="Times"/>
        </w:rPr>
        <w:t>at 4</w:t>
      </w:r>
      <w:r w:rsidRPr="004C6483">
        <w:rPr>
          <w:rFonts w:ascii="Times" w:hAnsi="Times"/>
          <w:vertAlign w:val="superscript"/>
        </w:rPr>
        <w:t>o</w:t>
      </w:r>
      <w:r w:rsidRPr="004C6483">
        <w:rPr>
          <w:rFonts w:ascii="Times" w:hAnsi="Times"/>
        </w:rPr>
        <w:t>C on a rotation wheel. Thereafter immunoprecipitates were washed three times with 300μl NP40 lysis buffer before analysis by SDS-PAGE.  Western blotting was performed for BRCA1 with an anti-BRCA1 antibody from Millipore and an anti-BRCA2 antibody from Calbiochem.</w:t>
      </w:r>
    </w:p>
    <w:p w14:paraId="0FF7ECF0" w14:textId="77777777" w:rsidR="00027335" w:rsidRPr="004C6483" w:rsidRDefault="00027335" w:rsidP="004C6483">
      <w:pPr>
        <w:spacing w:line="480" w:lineRule="auto"/>
        <w:jc w:val="both"/>
        <w:rPr>
          <w:rFonts w:ascii="Times" w:hAnsi="Times"/>
          <w:b/>
        </w:rPr>
      </w:pPr>
    </w:p>
    <w:p w14:paraId="35496098" w14:textId="77777777" w:rsidR="00027335" w:rsidRPr="004C6483" w:rsidRDefault="00027335" w:rsidP="004C6483">
      <w:pPr>
        <w:spacing w:line="480" w:lineRule="auto"/>
        <w:jc w:val="both"/>
        <w:rPr>
          <w:rFonts w:ascii="Times" w:hAnsi="Times"/>
          <w:i/>
        </w:rPr>
      </w:pPr>
      <w:r w:rsidRPr="004C6483">
        <w:rPr>
          <w:rFonts w:ascii="Times" w:hAnsi="Times"/>
          <w:i/>
        </w:rPr>
        <w:t>Immunofluorescence</w:t>
      </w:r>
    </w:p>
    <w:p w14:paraId="27584A77" w14:textId="44D2575D" w:rsidR="003418D1" w:rsidRPr="004C6483" w:rsidRDefault="00027335" w:rsidP="004C6483">
      <w:pPr>
        <w:spacing w:line="480" w:lineRule="auto"/>
        <w:ind w:firstLine="720"/>
        <w:jc w:val="both"/>
        <w:rPr>
          <w:rFonts w:ascii="Times" w:hAnsi="Times"/>
        </w:rPr>
      </w:pPr>
      <w:r w:rsidRPr="004C6483">
        <w:rPr>
          <w:rFonts w:ascii="Times" w:hAnsi="Times"/>
        </w:rPr>
        <w:t xml:space="preserve">Cell treatments and immunofluorescent staining for analysis on the Cellomics Arrayscan were performed as described in the main methods section. For analysis of </w:t>
      </w:r>
      <w:r w:rsidRPr="004C6483">
        <w:rPr>
          <w:rFonts w:ascii="Times" w:hAnsi="Times"/>
        </w:rPr>
        <w:lastRenderedPageBreak/>
        <w:t xml:space="preserve">53BP1 foci formation, cells were stained with a 1:500 dilution of anti-53BP1 antibody (Cell Signaling) and cells scored as being positive if they had more than five 53BP1 foci per nucleus. </w:t>
      </w:r>
    </w:p>
    <w:p w14:paraId="012D7127" w14:textId="77777777" w:rsidR="003418D1" w:rsidRPr="004C6483" w:rsidRDefault="003418D1" w:rsidP="004C6483">
      <w:pPr>
        <w:spacing w:line="480" w:lineRule="auto"/>
        <w:ind w:firstLine="720"/>
        <w:jc w:val="both"/>
        <w:rPr>
          <w:rFonts w:ascii="Times" w:hAnsi="Times"/>
        </w:rPr>
      </w:pPr>
    </w:p>
    <w:p w14:paraId="43C9AC7F" w14:textId="77777777" w:rsidR="00027335" w:rsidRPr="004C6483" w:rsidRDefault="00027335" w:rsidP="004C6483">
      <w:pPr>
        <w:spacing w:line="480" w:lineRule="auto"/>
        <w:jc w:val="both"/>
        <w:rPr>
          <w:rFonts w:ascii="Times" w:hAnsi="Times"/>
          <w:i/>
        </w:rPr>
      </w:pPr>
      <w:r w:rsidRPr="004C6483">
        <w:rPr>
          <w:rFonts w:ascii="Times" w:hAnsi="Times"/>
          <w:i/>
        </w:rPr>
        <w:t>Flow cytometry</w:t>
      </w:r>
    </w:p>
    <w:p w14:paraId="2AEB609A" w14:textId="5E5C7CB1" w:rsidR="00027335" w:rsidRPr="004C6483" w:rsidRDefault="00027335" w:rsidP="004C6483">
      <w:pPr>
        <w:spacing w:line="480" w:lineRule="auto"/>
        <w:ind w:firstLine="720"/>
        <w:jc w:val="both"/>
        <w:rPr>
          <w:rFonts w:ascii="Times" w:hAnsi="Times"/>
        </w:rPr>
      </w:pPr>
      <w:r w:rsidRPr="004C6483">
        <w:rPr>
          <w:rFonts w:ascii="Times" w:hAnsi="Times"/>
        </w:rPr>
        <w:t>Cells were plated in 6-well plates</w:t>
      </w:r>
      <w:r w:rsidR="00F354A6" w:rsidRPr="004C6483">
        <w:rPr>
          <w:rFonts w:ascii="Times" w:hAnsi="Times"/>
        </w:rPr>
        <w:t xml:space="preserve"> 48h</w:t>
      </w:r>
      <w:r w:rsidRPr="004C6483">
        <w:rPr>
          <w:rFonts w:ascii="Times" w:hAnsi="Times"/>
        </w:rPr>
        <w:t xml:space="preserve"> prior to drug treatment. Cells were co-pulsed with </w:t>
      </w:r>
      <w:r w:rsidRPr="004C6483">
        <w:rPr>
          <w:rFonts w:ascii="Times" w:hAnsi="Times" w:cs="Arial"/>
        </w:rPr>
        <w:t xml:space="preserve">5μM EdU and washed with PBS and overlaid with fresh media overnight before harvesting by trypsin. Harvested cells were fixed and permeabilized with 2% paraformaldehyde/0.2% Triton-X-100, blocked with 3% BSA/PBS, then subjected to Click-IT as per manufacturers instructions (LifeTechnologies). Cells were washed in between steps with PBS. Following Click-IT, cells were subject to </w:t>
      </w:r>
      <w:r w:rsidRPr="004C6483">
        <w:rPr>
          <w:rFonts w:ascii="Times" w:hAnsi="Times" w:cs="Arial"/>
          <w:i/>
        </w:rPr>
        <w:t>in situ</w:t>
      </w:r>
      <w:r w:rsidRPr="004C6483">
        <w:rPr>
          <w:rFonts w:ascii="Times" w:hAnsi="Times" w:cs="Arial"/>
        </w:rPr>
        <w:t xml:space="preserve"> cell death detection (TMR red, Roche) for the end-labeling of apoptotic DNA DSBs (specificity determined by co-treatment with the caspase inhibitor Z-VAD, data not shown), as per manufacturers instructions. Cells were then washed and resuspended in PBS containing 2μg/ml DAPI (Sigma) and analyzed on a BD Fortessa. All subsequent flow cytometry analyses were performed on FlowJo, where samples were double-gated for doublets by FS-A/SS-A and DAPI/FS-W prior to apoptotic, DNA content and EdU incorporation analysis.</w:t>
      </w:r>
    </w:p>
    <w:p w14:paraId="22E5ACF8" w14:textId="77777777" w:rsidR="00027335" w:rsidRPr="004C6483" w:rsidRDefault="00027335" w:rsidP="004C6483">
      <w:pPr>
        <w:spacing w:line="480" w:lineRule="auto"/>
        <w:rPr>
          <w:rFonts w:ascii="Times" w:hAnsi="Times"/>
          <w:b/>
        </w:rPr>
      </w:pPr>
    </w:p>
    <w:p w14:paraId="60296256" w14:textId="1800399A" w:rsidR="00027335" w:rsidRPr="004C6483" w:rsidRDefault="00027335" w:rsidP="004C6483">
      <w:pPr>
        <w:spacing w:line="480" w:lineRule="auto"/>
        <w:rPr>
          <w:rFonts w:ascii="Times" w:hAnsi="Times"/>
          <w:i/>
        </w:rPr>
      </w:pPr>
      <w:r w:rsidRPr="004C6483">
        <w:rPr>
          <w:rFonts w:ascii="Times" w:hAnsi="Times"/>
          <w:i/>
        </w:rPr>
        <w:t xml:space="preserve">Confirmation of disruption of </w:t>
      </w:r>
      <w:r w:rsidR="003418D1" w:rsidRPr="004C6483">
        <w:rPr>
          <w:rFonts w:ascii="Times" w:hAnsi="Times"/>
          <w:i/>
        </w:rPr>
        <w:t xml:space="preserve">the </w:t>
      </w:r>
      <w:r w:rsidRPr="004C6483">
        <w:rPr>
          <w:rFonts w:ascii="Times" w:hAnsi="Times"/>
          <w:i/>
        </w:rPr>
        <w:t xml:space="preserve">EWS gene in </w:t>
      </w:r>
      <w:r w:rsidR="00F354A6" w:rsidRPr="004C6483">
        <w:rPr>
          <w:rFonts w:ascii="Times" w:hAnsi="Times"/>
          <w:i/>
        </w:rPr>
        <w:t>EWSCs</w:t>
      </w:r>
    </w:p>
    <w:p w14:paraId="71890FB6" w14:textId="546E5437" w:rsidR="00394961" w:rsidRPr="004C6483" w:rsidRDefault="00027335" w:rsidP="004C6483">
      <w:pPr>
        <w:spacing w:line="480" w:lineRule="auto"/>
        <w:jc w:val="both"/>
        <w:rPr>
          <w:rFonts w:ascii="Times" w:hAnsi="Times" w:cs="Arial"/>
        </w:rPr>
      </w:pPr>
      <w:r w:rsidRPr="004C6483">
        <w:rPr>
          <w:rFonts w:ascii="Times" w:hAnsi="Times" w:cs="Arial"/>
        </w:rPr>
        <w:t xml:space="preserve">Interphase and metaphase fluorescent in situ hybridization (FISH) was performed using the Vysis EWSR1 (22q12) Dual Color Break Apart Rearrangement Probe to detect the disruption of the </w:t>
      </w:r>
      <w:r w:rsidRPr="004C6483">
        <w:rPr>
          <w:rFonts w:ascii="Times" w:hAnsi="Times" w:cs="Arial"/>
          <w:i/>
        </w:rPr>
        <w:t>EWS</w:t>
      </w:r>
      <w:r w:rsidRPr="004C6483">
        <w:rPr>
          <w:rFonts w:ascii="Times" w:hAnsi="Times" w:cs="Arial"/>
        </w:rPr>
        <w:t xml:space="preserve"> gene as described by the manufacturer (Abbott Molecular). In a subset of Ewing’s cell lines, disruption of </w:t>
      </w:r>
      <w:r w:rsidRPr="004C6483">
        <w:rPr>
          <w:rFonts w:ascii="Times" w:hAnsi="Times" w:cs="Arial"/>
          <w:i/>
        </w:rPr>
        <w:t>EWS</w:t>
      </w:r>
      <w:r w:rsidRPr="004C6483">
        <w:rPr>
          <w:rFonts w:ascii="Times" w:hAnsi="Times" w:cs="Arial"/>
        </w:rPr>
        <w:t xml:space="preserve"> was detected using PCR or RNA sequencing as previously described</w:t>
      </w:r>
      <w:r w:rsidR="003418D1" w:rsidRPr="004C6483">
        <w:rPr>
          <w:rFonts w:ascii="Times" w:hAnsi="Times"/>
        </w:rPr>
        <w:t>(7)</w:t>
      </w:r>
      <w:r w:rsidRPr="004C6483">
        <w:rPr>
          <w:rFonts w:ascii="Times" w:hAnsi="Times" w:cs="Arial"/>
        </w:rPr>
        <w:t>.</w:t>
      </w:r>
    </w:p>
    <w:sectPr w:rsidR="00394961" w:rsidRPr="004C6483" w:rsidSect="00394961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EEC96" w14:textId="77777777" w:rsidR="00345BE5" w:rsidRDefault="00345BE5" w:rsidP="00345BE5">
      <w:r>
        <w:separator/>
      </w:r>
    </w:p>
  </w:endnote>
  <w:endnote w:type="continuationSeparator" w:id="0">
    <w:p w14:paraId="641E7791" w14:textId="77777777" w:rsidR="00345BE5" w:rsidRDefault="00345BE5" w:rsidP="00345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EFC62" w14:textId="77777777" w:rsidR="00345BE5" w:rsidRDefault="00345BE5" w:rsidP="009C44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4538CF" w14:textId="77777777" w:rsidR="00345BE5" w:rsidRDefault="00345BE5" w:rsidP="00345B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BEBDC" w14:textId="77777777" w:rsidR="00345BE5" w:rsidRDefault="00345BE5" w:rsidP="009C44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9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643868" w14:textId="77777777" w:rsidR="00345BE5" w:rsidRDefault="00345BE5" w:rsidP="00345B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CB32D" w14:textId="77777777" w:rsidR="00345BE5" w:rsidRDefault="00345BE5" w:rsidP="00345BE5">
      <w:r>
        <w:separator/>
      </w:r>
    </w:p>
  </w:footnote>
  <w:footnote w:type="continuationSeparator" w:id="0">
    <w:p w14:paraId="4B668D18" w14:textId="77777777" w:rsidR="00345BE5" w:rsidRDefault="00345BE5" w:rsidP="00345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35"/>
    <w:rsid w:val="00027335"/>
    <w:rsid w:val="001A737B"/>
    <w:rsid w:val="00213A18"/>
    <w:rsid w:val="003418D1"/>
    <w:rsid w:val="00345BE5"/>
    <w:rsid w:val="00394961"/>
    <w:rsid w:val="004C6483"/>
    <w:rsid w:val="00504932"/>
    <w:rsid w:val="00663923"/>
    <w:rsid w:val="00F354A6"/>
    <w:rsid w:val="00FE7A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00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5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BE5"/>
  </w:style>
  <w:style w:type="character" w:styleId="PageNumber">
    <w:name w:val="page number"/>
    <w:basedOn w:val="DefaultParagraphFont"/>
    <w:uiPriority w:val="99"/>
    <w:semiHidden/>
    <w:unhideWhenUsed/>
    <w:rsid w:val="00345B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5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BE5"/>
  </w:style>
  <w:style w:type="character" w:styleId="PageNumber">
    <w:name w:val="page number"/>
    <w:basedOn w:val="DefaultParagraphFont"/>
    <w:uiPriority w:val="99"/>
    <w:semiHidden/>
    <w:unhideWhenUsed/>
    <w:rsid w:val="0034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735</Words>
  <Characters>4191</Characters>
  <Application>Microsoft Macintosh Word</Application>
  <DocSecurity>0</DocSecurity>
  <Lines>34</Lines>
  <Paragraphs>9</Paragraphs>
  <ScaleCrop>false</ScaleCrop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Heidorn</dc:creator>
  <cp:keywords/>
  <dc:description/>
  <cp:lastModifiedBy>Sonja Heidorn</cp:lastModifiedBy>
  <cp:revision>5</cp:revision>
  <cp:lastPrinted>2014-11-20T15:03:00Z</cp:lastPrinted>
  <dcterms:created xsi:type="dcterms:W3CDTF">2014-11-18T14:57:00Z</dcterms:created>
  <dcterms:modified xsi:type="dcterms:W3CDTF">2014-11-20T15:05:00Z</dcterms:modified>
</cp:coreProperties>
</file>