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61" w:rsidRDefault="00CB5C61" w:rsidP="00CB5C61">
      <w:pPr>
        <w:rPr>
          <w:sz w:val="24"/>
          <w:lang w:val="en-GB"/>
        </w:rPr>
      </w:pPr>
      <w:r w:rsidRPr="00F81C9F">
        <w:rPr>
          <w:b/>
          <w:sz w:val="24"/>
          <w:lang w:val="en-GB"/>
        </w:rPr>
        <w:t xml:space="preserve">S5 Table. Identity between the </w:t>
      </w:r>
      <w:r w:rsidR="00034825">
        <w:rPr>
          <w:b/>
          <w:sz w:val="24"/>
          <w:lang w:val="en-GB"/>
        </w:rPr>
        <w:t xml:space="preserve">consensus of </w:t>
      </w:r>
      <w:r w:rsidRPr="00F81C9F">
        <w:rPr>
          <w:b/>
          <w:sz w:val="24"/>
          <w:lang w:val="en-GB"/>
        </w:rPr>
        <w:t>USUV field detected sequences and other homologous sequences.</w:t>
      </w:r>
      <w:r w:rsidRPr="00155B4D">
        <w:rPr>
          <w:sz w:val="24"/>
          <w:lang w:val="en-GB"/>
        </w:rPr>
        <w:t xml:space="preserve"> Number of base differences (lower left) and percentage of identity (upper right) between the consensus of </w:t>
      </w:r>
      <w:r>
        <w:rPr>
          <w:sz w:val="24"/>
          <w:lang w:val="en-GB"/>
        </w:rPr>
        <w:t>USUV</w:t>
      </w:r>
      <w:r w:rsidRPr="00155B4D">
        <w:rPr>
          <w:sz w:val="24"/>
          <w:lang w:val="en-GB"/>
        </w:rPr>
        <w:t xml:space="preserve"> field detected sequences and other homo</w:t>
      </w:r>
      <w:r>
        <w:rPr>
          <w:sz w:val="24"/>
          <w:lang w:val="en-GB"/>
        </w:rPr>
        <w:t>logous sequences</w:t>
      </w:r>
      <w:r w:rsidRPr="00B66AC6">
        <w:rPr>
          <w:sz w:val="24"/>
          <w:lang w:val="en-GB"/>
        </w:rPr>
        <w:t xml:space="preserve"> </w:t>
      </w:r>
      <w:r>
        <w:rPr>
          <w:sz w:val="24"/>
          <w:lang w:val="en-GB"/>
        </w:rPr>
        <w:t>deposed in Gen Bank (GB). Alignment of 200</w:t>
      </w:r>
      <w:r w:rsidRPr="00155B4D">
        <w:rPr>
          <w:sz w:val="24"/>
          <w:lang w:val="en-GB"/>
        </w:rPr>
        <w:t xml:space="preserve"> base pairs of the NS5 gene, * sequences detected in the surveyed area.</w:t>
      </w:r>
    </w:p>
    <w:p w:rsidR="00341677" w:rsidRDefault="00341677" w:rsidP="00341677">
      <w:pPr>
        <w:rPr>
          <w:sz w:val="24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9"/>
        <w:gridCol w:w="2333"/>
        <w:gridCol w:w="1731"/>
        <w:gridCol w:w="664"/>
        <w:gridCol w:w="1117"/>
        <w:gridCol w:w="1307"/>
        <w:gridCol w:w="294"/>
        <w:gridCol w:w="54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594"/>
      </w:tblGrid>
      <w:tr w:rsidR="00341677" w:rsidRPr="002C3F2F" w:rsidTr="00AF79E0">
        <w:trPr>
          <w:trHeight w:val="180"/>
        </w:trPr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val="en-US" w:eastAsia="it-IT"/>
              </w:rPr>
            </w:pPr>
            <w:r w:rsidRPr="002C3F2F">
              <w:rPr>
                <w:lang w:val="en-GB" w:eastAsia="it-IT"/>
              </w:rPr>
              <w:t> 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val="en-GB" w:eastAsia="it-IT"/>
              </w:rPr>
              <w:t>Strain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val="en-GB" w:eastAsia="it-IT"/>
              </w:rPr>
              <w:t>Country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val="en-GB" w:eastAsia="it-IT"/>
              </w:rPr>
              <w:t>Year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val="en-GB" w:eastAsia="it-IT"/>
              </w:rPr>
              <w:t>Origin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B66AC6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val="en-GB" w:eastAsia="it-IT"/>
              </w:rPr>
              <w:t>GB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val="en-GB" w:eastAsia="it-IT"/>
              </w:rPr>
              <w:t>1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val="en-GB" w:eastAsia="it-IT"/>
              </w:rPr>
              <w:t>2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val="en-GB" w:eastAsia="it-IT"/>
              </w:rPr>
              <w:t>3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val="en-GB" w:eastAsia="it-IT"/>
              </w:rPr>
              <w:t>4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val="en-GB" w:eastAsia="it-IT"/>
              </w:rPr>
              <w:t>5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val="en-GB" w:eastAsia="it-IT"/>
              </w:rPr>
              <w:t>6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val="en-GB" w:eastAsia="it-IT"/>
              </w:rPr>
              <w:t>7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val="en-GB" w:eastAsia="it-IT"/>
              </w:rPr>
              <w:t>8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val="en-GB" w:eastAsia="it-IT"/>
              </w:rPr>
              <w:t>9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val="en-GB" w:eastAsia="it-IT"/>
              </w:rPr>
              <w:t>10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val="en-GB" w:eastAsia="it-IT"/>
              </w:rPr>
              <w:t>11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12</w:t>
            </w:r>
          </w:p>
        </w:tc>
      </w:tr>
      <w:tr w:rsidR="00341677" w:rsidRPr="002C3F2F" w:rsidTr="00AF79E0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val="en-GB" w:eastAsia="it-IT"/>
              </w:rPr>
              <w:t>This study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Italy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2013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Mosquito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D14A8B" w:rsidP="00D14A8B">
            <w:pPr>
              <w:suppressAutoHyphens w:val="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-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99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99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99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</w:tr>
      <w:tr w:rsidR="00341677" w:rsidRPr="002C3F2F" w:rsidTr="00AF79E0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USU-RE-m7/2010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Italy*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2010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Mosquito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D14A8B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JF834591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99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99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99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99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</w:tr>
      <w:tr w:rsidR="00341677" w:rsidRPr="002C3F2F" w:rsidTr="00AF79E0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Bologna 2009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Italy*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2009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Human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D14A8B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HM569263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99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99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</w:tr>
      <w:tr w:rsidR="00341677" w:rsidRPr="002C3F2F" w:rsidTr="00AF79E0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Vienna_2001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Vienna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2001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Bird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D14A8B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AY453411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99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</w:tr>
      <w:tr w:rsidR="00341677" w:rsidRPr="002C3F2F" w:rsidTr="00AF79E0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Meise H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Austria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2002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Bird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D14A8B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JQ219843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99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</w:tr>
      <w:tr w:rsidR="00341677" w:rsidRPr="002C3F2F" w:rsidTr="00AF79E0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m2080-NO/ITA/2011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Italy*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2011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Mosquito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D14A8B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KF882514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</w:tr>
      <w:tr w:rsidR="00341677" w:rsidRPr="002C3F2F" w:rsidTr="00AF79E0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Milan 2006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Italy*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2006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Bird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D14A8B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JX473242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98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</w:tr>
      <w:tr w:rsidR="00341677" w:rsidRPr="002C3F2F" w:rsidTr="00AF79E0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BAT2USUTU-BNI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Germany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2013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Bat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D14A8B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KJ859683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</w:tr>
      <w:tr w:rsidR="00341677" w:rsidRPr="002C3F2F" w:rsidTr="00AF79E0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ArD192495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Senegal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2007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Mosquito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D14A8B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KC754957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99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</w:tr>
      <w:tr w:rsidR="00341677" w:rsidRPr="002C3F2F" w:rsidTr="00AF79E0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BH65/11-02-03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Germany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2011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Bird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D14A8B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HE599647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96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</w:tr>
      <w:tr w:rsidR="00341677" w:rsidRPr="002C3F2F" w:rsidTr="004C2CEF">
        <w:trPr>
          <w:trHeight w:val="255"/>
        </w:trPr>
        <w:tc>
          <w:tcPr>
            <w:tcW w:w="1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11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HB81P08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C. African Rep.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1981</w:t>
            </w: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Human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D14A8B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KC754955</w:t>
            </w:r>
          </w:p>
        </w:tc>
        <w:tc>
          <w:tcPr>
            <w:tcW w:w="1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97</w:t>
            </w:r>
            <w:r w:rsidR="00472FB1">
              <w:rPr>
                <w:lang w:eastAsia="it-IT"/>
              </w:rPr>
              <w:t>.</w:t>
            </w:r>
            <w:r w:rsidRPr="002C3F2F">
              <w:rPr>
                <w:lang w:eastAsia="it-IT"/>
              </w:rPr>
              <w:t>5</w:t>
            </w:r>
          </w:p>
        </w:tc>
      </w:tr>
      <w:tr w:rsidR="00341677" w:rsidRPr="002C3F2F" w:rsidTr="00AB2F83">
        <w:trPr>
          <w:trHeight w:val="270"/>
        </w:trPr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SAAR-1776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South Africa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1959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rPr>
                <w:lang w:eastAsia="it-IT"/>
              </w:rPr>
            </w:pPr>
            <w:r w:rsidRPr="002C3F2F">
              <w:rPr>
                <w:lang w:eastAsia="it-IT"/>
              </w:rPr>
              <w:t>Mosquito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D14A8B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AY453412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677" w:rsidRPr="002C3F2F" w:rsidRDefault="00341677" w:rsidP="00472FB1">
            <w:pPr>
              <w:suppressAutoHyphens w:val="0"/>
              <w:jc w:val="center"/>
              <w:rPr>
                <w:lang w:eastAsia="it-IT"/>
              </w:rPr>
            </w:pPr>
            <w:r w:rsidRPr="002C3F2F">
              <w:rPr>
                <w:lang w:eastAsia="it-IT"/>
              </w:rPr>
              <w:t> </w:t>
            </w:r>
          </w:p>
        </w:tc>
      </w:tr>
    </w:tbl>
    <w:p w:rsidR="00341677" w:rsidRPr="00155B4D" w:rsidRDefault="00341677" w:rsidP="00341677">
      <w:pPr>
        <w:rPr>
          <w:sz w:val="24"/>
          <w:lang w:val="en-GB"/>
        </w:rPr>
      </w:pPr>
    </w:p>
    <w:p w:rsidR="006818A1" w:rsidRPr="00401771" w:rsidRDefault="006818A1" w:rsidP="00472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n-US"/>
        </w:rPr>
      </w:pPr>
    </w:p>
    <w:sectPr w:rsidR="006818A1" w:rsidRPr="00401771" w:rsidSect="0070638A">
      <w:headerReference w:type="even" r:id="rId7"/>
      <w:headerReference w:type="default" r:id="rId8"/>
      <w:footerReference w:type="even" r:id="rId9"/>
      <w:footerReference w:type="default" r:id="rId10"/>
      <w:type w:val="continuous"/>
      <w:pgSz w:w="16840" w:h="11900" w:orient="landscape"/>
      <w:pgMar w:top="1497" w:right="1134" w:bottom="1497" w:left="1418" w:header="856" w:footer="11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82" w:rsidRDefault="00EA2E82">
      <w:r>
        <w:separator/>
      </w:r>
    </w:p>
  </w:endnote>
  <w:endnote w:type="continuationSeparator" w:id="0">
    <w:p w:rsidR="00EA2E82" w:rsidRDefault="00EA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6E" w:rsidRDefault="00CD496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6E" w:rsidRDefault="00CD496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82" w:rsidRDefault="00EA2E82">
      <w:r>
        <w:separator/>
      </w:r>
    </w:p>
  </w:footnote>
  <w:footnote w:type="continuationSeparator" w:id="0">
    <w:p w:rsidR="00EA2E82" w:rsidRDefault="00EA2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6E" w:rsidRDefault="00CD496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6E" w:rsidRDefault="00CD496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oNotTrackMoves/>
  <w:doNotTrackFormatting/>
  <w:defaultTabStop w:val="720"/>
  <w:hyphenationZone w:val="283"/>
  <w:defaultTableStyle w:val="Normale"/>
  <w:evenAndOddHeaders/>
  <w:drawingGridHorizontalSpacing w:val="2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C6B"/>
    <w:rsid w:val="00014847"/>
    <w:rsid w:val="00034825"/>
    <w:rsid w:val="00040E6F"/>
    <w:rsid w:val="000467D9"/>
    <w:rsid w:val="000521E5"/>
    <w:rsid w:val="0006538A"/>
    <w:rsid w:val="00065903"/>
    <w:rsid w:val="00082FE1"/>
    <w:rsid w:val="00093F34"/>
    <w:rsid w:val="000A0861"/>
    <w:rsid w:val="000B63D8"/>
    <w:rsid w:val="000D1C1F"/>
    <w:rsid w:val="000E057C"/>
    <w:rsid w:val="000E2FED"/>
    <w:rsid w:val="000E513B"/>
    <w:rsid w:val="000E6B94"/>
    <w:rsid w:val="000F48FC"/>
    <w:rsid w:val="000F74CB"/>
    <w:rsid w:val="00103B49"/>
    <w:rsid w:val="00117FB3"/>
    <w:rsid w:val="0013637C"/>
    <w:rsid w:val="00150482"/>
    <w:rsid w:val="001638ED"/>
    <w:rsid w:val="00171CCB"/>
    <w:rsid w:val="00181D41"/>
    <w:rsid w:val="00190FA2"/>
    <w:rsid w:val="001B036C"/>
    <w:rsid w:val="001C1E17"/>
    <w:rsid w:val="001E513E"/>
    <w:rsid w:val="001F2641"/>
    <w:rsid w:val="00204F38"/>
    <w:rsid w:val="00210BD8"/>
    <w:rsid w:val="0021146A"/>
    <w:rsid w:val="002127CC"/>
    <w:rsid w:val="00223272"/>
    <w:rsid w:val="00225BCF"/>
    <w:rsid w:val="00244298"/>
    <w:rsid w:val="00262084"/>
    <w:rsid w:val="00281EA7"/>
    <w:rsid w:val="0029026E"/>
    <w:rsid w:val="00296882"/>
    <w:rsid w:val="00297C13"/>
    <w:rsid w:val="002A16CE"/>
    <w:rsid w:val="002A48AE"/>
    <w:rsid w:val="002B3658"/>
    <w:rsid w:val="002C1616"/>
    <w:rsid w:val="002C497C"/>
    <w:rsid w:val="002D6504"/>
    <w:rsid w:val="002D6CDB"/>
    <w:rsid w:val="002D7BE8"/>
    <w:rsid w:val="002E6166"/>
    <w:rsid w:val="002E7F6A"/>
    <w:rsid w:val="002F3767"/>
    <w:rsid w:val="00300B4F"/>
    <w:rsid w:val="00311168"/>
    <w:rsid w:val="00312598"/>
    <w:rsid w:val="00314CF9"/>
    <w:rsid w:val="00316E53"/>
    <w:rsid w:val="0032627C"/>
    <w:rsid w:val="00327F36"/>
    <w:rsid w:val="003304BB"/>
    <w:rsid w:val="003377D3"/>
    <w:rsid w:val="00341677"/>
    <w:rsid w:val="00366242"/>
    <w:rsid w:val="00372FBB"/>
    <w:rsid w:val="003947C8"/>
    <w:rsid w:val="003A0A53"/>
    <w:rsid w:val="003A3110"/>
    <w:rsid w:val="003B6D98"/>
    <w:rsid w:val="003D46B6"/>
    <w:rsid w:val="003E14FE"/>
    <w:rsid w:val="003E2C18"/>
    <w:rsid w:val="003E7A9B"/>
    <w:rsid w:val="003F4613"/>
    <w:rsid w:val="00401771"/>
    <w:rsid w:val="00402173"/>
    <w:rsid w:val="0041245B"/>
    <w:rsid w:val="00416450"/>
    <w:rsid w:val="00455860"/>
    <w:rsid w:val="00471653"/>
    <w:rsid w:val="00472FB1"/>
    <w:rsid w:val="00475E98"/>
    <w:rsid w:val="004858E7"/>
    <w:rsid w:val="004A21DB"/>
    <w:rsid w:val="004A2DA0"/>
    <w:rsid w:val="004B4A72"/>
    <w:rsid w:val="004B6F69"/>
    <w:rsid w:val="004C2CEF"/>
    <w:rsid w:val="004D1E4C"/>
    <w:rsid w:val="004D30C9"/>
    <w:rsid w:val="004E04B8"/>
    <w:rsid w:val="004E0B39"/>
    <w:rsid w:val="004F2F0D"/>
    <w:rsid w:val="004F64A5"/>
    <w:rsid w:val="00500B62"/>
    <w:rsid w:val="005074BE"/>
    <w:rsid w:val="0051010D"/>
    <w:rsid w:val="005204AF"/>
    <w:rsid w:val="00554E81"/>
    <w:rsid w:val="00554F82"/>
    <w:rsid w:val="00570F05"/>
    <w:rsid w:val="00580B9E"/>
    <w:rsid w:val="005831EA"/>
    <w:rsid w:val="005A0376"/>
    <w:rsid w:val="005A342A"/>
    <w:rsid w:val="005B314F"/>
    <w:rsid w:val="005B54B4"/>
    <w:rsid w:val="005D6874"/>
    <w:rsid w:val="005F36F8"/>
    <w:rsid w:val="005F4280"/>
    <w:rsid w:val="005F784D"/>
    <w:rsid w:val="00600A65"/>
    <w:rsid w:val="00600C12"/>
    <w:rsid w:val="00623C7C"/>
    <w:rsid w:val="00653A2B"/>
    <w:rsid w:val="006557A8"/>
    <w:rsid w:val="006667C7"/>
    <w:rsid w:val="006818A1"/>
    <w:rsid w:val="00687992"/>
    <w:rsid w:val="006940A1"/>
    <w:rsid w:val="006A17E2"/>
    <w:rsid w:val="006C00DD"/>
    <w:rsid w:val="006D0C6B"/>
    <w:rsid w:val="006D337E"/>
    <w:rsid w:val="006D578B"/>
    <w:rsid w:val="006E1BBC"/>
    <w:rsid w:val="006F5482"/>
    <w:rsid w:val="006F7598"/>
    <w:rsid w:val="00704D15"/>
    <w:rsid w:val="007059C7"/>
    <w:rsid w:val="0070638A"/>
    <w:rsid w:val="00714A3F"/>
    <w:rsid w:val="007157DE"/>
    <w:rsid w:val="007216DE"/>
    <w:rsid w:val="00724BF1"/>
    <w:rsid w:val="00725069"/>
    <w:rsid w:val="007309B3"/>
    <w:rsid w:val="00734F86"/>
    <w:rsid w:val="0074166A"/>
    <w:rsid w:val="00746164"/>
    <w:rsid w:val="00750B97"/>
    <w:rsid w:val="00750C6B"/>
    <w:rsid w:val="0079302A"/>
    <w:rsid w:val="00793A78"/>
    <w:rsid w:val="007A2CE6"/>
    <w:rsid w:val="007C206F"/>
    <w:rsid w:val="007F3B5D"/>
    <w:rsid w:val="007F67C9"/>
    <w:rsid w:val="00801A02"/>
    <w:rsid w:val="008038AB"/>
    <w:rsid w:val="00811C13"/>
    <w:rsid w:val="0081379E"/>
    <w:rsid w:val="00815352"/>
    <w:rsid w:val="0082027F"/>
    <w:rsid w:val="008253F9"/>
    <w:rsid w:val="00827330"/>
    <w:rsid w:val="008318E3"/>
    <w:rsid w:val="00833D86"/>
    <w:rsid w:val="008350E7"/>
    <w:rsid w:val="00842212"/>
    <w:rsid w:val="00846168"/>
    <w:rsid w:val="008513CC"/>
    <w:rsid w:val="008612E0"/>
    <w:rsid w:val="008778C7"/>
    <w:rsid w:val="00881352"/>
    <w:rsid w:val="008839B4"/>
    <w:rsid w:val="008A522C"/>
    <w:rsid w:val="008B1E83"/>
    <w:rsid w:val="008B5A50"/>
    <w:rsid w:val="008C21D4"/>
    <w:rsid w:val="008C5DD1"/>
    <w:rsid w:val="00927953"/>
    <w:rsid w:val="0093383C"/>
    <w:rsid w:val="009571FB"/>
    <w:rsid w:val="00957495"/>
    <w:rsid w:val="00960BE6"/>
    <w:rsid w:val="00971E5A"/>
    <w:rsid w:val="00994A19"/>
    <w:rsid w:val="00995A2B"/>
    <w:rsid w:val="009A3E27"/>
    <w:rsid w:val="009A7D4A"/>
    <w:rsid w:val="009C344D"/>
    <w:rsid w:val="009E427C"/>
    <w:rsid w:val="009E5461"/>
    <w:rsid w:val="009F1931"/>
    <w:rsid w:val="009F1DE1"/>
    <w:rsid w:val="009F5DC7"/>
    <w:rsid w:val="00A15321"/>
    <w:rsid w:val="00A31AE5"/>
    <w:rsid w:val="00A32796"/>
    <w:rsid w:val="00A5539C"/>
    <w:rsid w:val="00A67525"/>
    <w:rsid w:val="00A67BFD"/>
    <w:rsid w:val="00A7799E"/>
    <w:rsid w:val="00A84F13"/>
    <w:rsid w:val="00A94B8B"/>
    <w:rsid w:val="00AA01CE"/>
    <w:rsid w:val="00AA0ED2"/>
    <w:rsid w:val="00AB1617"/>
    <w:rsid w:val="00AB2F83"/>
    <w:rsid w:val="00AB790F"/>
    <w:rsid w:val="00AC497F"/>
    <w:rsid w:val="00AD0254"/>
    <w:rsid w:val="00AD4E48"/>
    <w:rsid w:val="00AD612F"/>
    <w:rsid w:val="00AE60CD"/>
    <w:rsid w:val="00AF5D63"/>
    <w:rsid w:val="00AF79E0"/>
    <w:rsid w:val="00B06F09"/>
    <w:rsid w:val="00B14BD5"/>
    <w:rsid w:val="00B16521"/>
    <w:rsid w:val="00B16D99"/>
    <w:rsid w:val="00B17360"/>
    <w:rsid w:val="00B36663"/>
    <w:rsid w:val="00B548BD"/>
    <w:rsid w:val="00B61609"/>
    <w:rsid w:val="00B66AC6"/>
    <w:rsid w:val="00BA11AE"/>
    <w:rsid w:val="00BD49BD"/>
    <w:rsid w:val="00C04A4F"/>
    <w:rsid w:val="00C111C0"/>
    <w:rsid w:val="00C16644"/>
    <w:rsid w:val="00C201B6"/>
    <w:rsid w:val="00C246B4"/>
    <w:rsid w:val="00C312AF"/>
    <w:rsid w:val="00C41069"/>
    <w:rsid w:val="00C42665"/>
    <w:rsid w:val="00C5173C"/>
    <w:rsid w:val="00C54F41"/>
    <w:rsid w:val="00C560E5"/>
    <w:rsid w:val="00C6210A"/>
    <w:rsid w:val="00C62955"/>
    <w:rsid w:val="00C67F6C"/>
    <w:rsid w:val="00C72FDC"/>
    <w:rsid w:val="00C75F80"/>
    <w:rsid w:val="00C8182B"/>
    <w:rsid w:val="00C875DF"/>
    <w:rsid w:val="00C95643"/>
    <w:rsid w:val="00CB50CF"/>
    <w:rsid w:val="00CB5C61"/>
    <w:rsid w:val="00CB76FC"/>
    <w:rsid w:val="00CD002D"/>
    <w:rsid w:val="00CD3A50"/>
    <w:rsid w:val="00CD496E"/>
    <w:rsid w:val="00CE0EF5"/>
    <w:rsid w:val="00CE4137"/>
    <w:rsid w:val="00CE4227"/>
    <w:rsid w:val="00CE715A"/>
    <w:rsid w:val="00CF0F30"/>
    <w:rsid w:val="00D0093A"/>
    <w:rsid w:val="00D060C3"/>
    <w:rsid w:val="00D14A8B"/>
    <w:rsid w:val="00D24492"/>
    <w:rsid w:val="00D31DAD"/>
    <w:rsid w:val="00D32302"/>
    <w:rsid w:val="00D45A7A"/>
    <w:rsid w:val="00D465D0"/>
    <w:rsid w:val="00D6357A"/>
    <w:rsid w:val="00D6707B"/>
    <w:rsid w:val="00D73E33"/>
    <w:rsid w:val="00D811EE"/>
    <w:rsid w:val="00D81AA6"/>
    <w:rsid w:val="00D95E8B"/>
    <w:rsid w:val="00DA400F"/>
    <w:rsid w:val="00DA5E09"/>
    <w:rsid w:val="00DC7005"/>
    <w:rsid w:val="00DD22E5"/>
    <w:rsid w:val="00DE438D"/>
    <w:rsid w:val="00DF0660"/>
    <w:rsid w:val="00DF1BD6"/>
    <w:rsid w:val="00DF5D50"/>
    <w:rsid w:val="00DF6076"/>
    <w:rsid w:val="00DF70D0"/>
    <w:rsid w:val="00DF7252"/>
    <w:rsid w:val="00E05CEE"/>
    <w:rsid w:val="00E07744"/>
    <w:rsid w:val="00E07932"/>
    <w:rsid w:val="00E137F9"/>
    <w:rsid w:val="00E21338"/>
    <w:rsid w:val="00E615D7"/>
    <w:rsid w:val="00E633BB"/>
    <w:rsid w:val="00E63C26"/>
    <w:rsid w:val="00E659C1"/>
    <w:rsid w:val="00E71321"/>
    <w:rsid w:val="00E76946"/>
    <w:rsid w:val="00E77528"/>
    <w:rsid w:val="00E83C5A"/>
    <w:rsid w:val="00EA2E82"/>
    <w:rsid w:val="00EB4CE7"/>
    <w:rsid w:val="00EB5152"/>
    <w:rsid w:val="00EC2137"/>
    <w:rsid w:val="00F07C27"/>
    <w:rsid w:val="00F10424"/>
    <w:rsid w:val="00F26BFA"/>
    <w:rsid w:val="00F3516B"/>
    <w:rsid w:val="00F4299D"/>
    <w:rsid w:val="00F6029A"/>
    <w:rsid w:val="00F761D5"/>
    <w:rsid w:val="00F81C9F"/>
    <w:rsid w:val="00F9199F"/>
    <w:rsid w:val="00F94F49"/>
    <w:rsid w:val="00F9673D"/>
    <w:rsid w:val="00FA16F8"/>
    <w:rsid w:val="00FA5014"/>
    <w:rsid w:val="00FB627F"/>
    <w:rsid w:val="00FC1D4D"/>
    <w:rsid w:val="00FC3B80"/>
    <w:rsid w:val="00FC49BA"/>
    <w:rsid w:val="00FD2FCD"/>
    <w:rsid w:val="00FD4B75"/>
    <w:rsid w:val="00FE0D71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A67BFD"/>
    <w:pPr>
      <w:suppressAutoHyphens/>
    </w:pPr>
    <w:rPr>
      <w:rFonts w:eastAsia="ヒラギノ角ゴ Pro W3"/>
      <w:color w:val="000000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A67BFD"/>
    <w:rPr>
      <w:rFonts w:eastAsia="ヒラギノ角ゴ Pro W3"/>
      <w:color w:val="000000"/>
    </w:rPr>
  </w:style>
  <w:style w:type="character" w:customStyle="1" w:styleId="apple-converted-space">
    <w:name w:val="apple-converted-space"/>
    <w:rsid w:val="00A67BFD"/>
    <w:rPr>
      <w:color w:val="000000"/>
      <w:sz w:val="20"/>
    </w:rPr>
  </w:style>
  <w:style w:type="character" w:customStyle="1" w:styleId="highlight">
    <w:name w:val="highlight"/>
    <w:rsid w:val="00A67BFD"/>
    <w:rPr>
      <w:color w:val="000000"/>
      <w:sz w:val="20"/>
    </w:rPr>
  </w:style>
  <w:style w:type="character" w:customStyle="1" w:styleId="Hyperlink1">
    <w:name w:val="Hyperlink1"/>
    <w:rsid w:val="00A67BFD"/>
    <w:rPr>
      <w:color w:val="00006C"/>
      <w:sz w:val="20"/>
      <w:u w:val="single"/>
    </w:rPr>
  </w:style>
  <w:style w:type="paragraph" w:styleId="Testofumetto">
    <w:name w:val="Balloon Text"/>
    <w:basedOn w:val="Normale"/>
    <w:link w:val="TestofumettoCarattere"/>
    <w:locked/>
    <w:rsid w:val="00750C6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50C6B"/>
    <w:rPr>
      <w:rFonts w:ascii="Tahoma" w:eastAsia="ヒラギノ角ゴ Pro W3" w:hAnsi="Tahoma" w:cs="Tahoma"/>
      <w:color w:val="000000"/>
      <w:sz w:val="16"/>
      <w:szCs w:val="16"/>
      <w:lang w:val="it-IT" w:eastAsia="en-US"/>
    </w:rPr>
  </w:style>
  <w:style w:type="character" w:styleId="Rimandocommento">
    <w:name w:val="annotation reference"/>
    <w:locked/>
    <w:rsid w:val="00DF066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DF0660"/>
    <w:rPr>
      <w:szCs w:val="20"/>
    </w:rPr>
  </w:style>
  <w:style w:type="character" w:customStyle="1" w:styleId="TestocommentoCarattere">
    <w:name w:val="Testo commento Carattere"/>
    <w:link w:val="Testocommento"/>
    <w:rsid w:val="00DF0660"/>
    <w:rPr>
      <w:rFonts w:eastAsia="ヒラギノ角ゴ Pro W3"/>
      <w:color w:val="00000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DF0660"/>
    <w:rPr>
      <w:b/>
      <w:bCs/>
    </w:rPr>
  </w:style>
  <w:style w:type="character" w:customStyle="1" w:styleId="SoggettocommentoCarattere">
    <w:name w:val="Soggetto commento Carattere"/>
    <w:link w:val="Soggettocommento"/>
    <w:rsid w:val="00DF0660"/>
    <w:rPr>
      <w:rFonts w:eastAsia="ヒラギノ角ゴ Pro W3"/>
      <w:b/>
      <w:bCs/>
      <w:color w:val="000000"/>
      <w:lang w:val="it-IT" w:eastAsia="en-US"/>
    </w:rPr>
  </w:style>
  <w:style w:type="paragraph" w:styleId="Revisione">
    <w:name w:val="Revision"/>
    <w:hidden/>
    <w:uiPriority w:val="99"/>
    <w:semiHidden/>
    <w:rsid w:val="00DF0660"/>
    <w:rPr>
      <w:rFonts w:eastAsia="ヒラギノ角ゴ Pro W3"/>
      <w:color w:val="000000"/>
      <w:szCs w:val="24"/>
      <w:lang w:eastAsia="en-US"/>
    </w:rPr>
  </w:style>
  <w:style w:type="character" w:styleId="Collegamentoipertestuale">
    <w:name w:val="Hyperlink"/>
    <w:locked/>
    <w:rsid w:val="00C6210A"/>
    <w:rPr>
      <w:color w:val="0000FF"/>
      <w:u w:val="single"/>
    </w:rPr>
  </w:style>
  <w:style w:type="character" w:customStyle="1" w:styleId="CommentReference">
    <w:name w:val="Comment Reference"/>
    <w:rsid w:val="006C00DD"/>
    <w:rPr>
      <w:rFonts w:cs="Times New Roman"/>
      <w:sz w:val="16"/>
    </w:rPr>
  </w:style>
  <w:style w:type="paragraph" w:styleId="Intestazione">
    <w:name w:val="header"/>
    <w:basedOn w:val="Normale"/>
    <w:link w:val="IntestazioneCarattere"/>
    <w:locked/>
    <w:rsid w:val="006C00DD"/>
    <w:rPr>
      <w:rFonts w:eastAsia="Times New Roman"/>
      <w:color w:val="auto"/>
      <w:szCs w:val="20"/>
      <w:lang w:eastAsia="ar-SA"/>
    </w:rPr>
  </w:style>
  <w:style w:type="character" w:customStyle="1" w:styleId="IntestazioneCarattere">
    <w:name w:val="Intestazione Carattere"/>
    <w:link w:val="Intestazione"/>
    <w:rsid w:val="006C00DD"/>
    <w:rPr>
      <w:lang w:eastAsia="ar-SA"/>
    </w:rPr>
  </w:style>
  <w:style w:type="paragraph" w:styleId="Pidipagina">
    <w:name w:val="footer"/>
    <w:basedOn w:val="Normale"/>
    <w:link w:val="PidipaginaCarattere"/>
    <w:uiPriority w:val="99"/>
    <w:locked/>
    <w:rsid w:val="006C00DD"/>
    <w:rPr>
      <w:rFonts w:eastAsia="Times New Roman"/>
      <w:color w:val="auto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rsid w:val="006C00DD"/>
    <w:rPr>
      <w:lang w:eastAsia="ar-SA"/>
    </w:rPr>
  </w:style>
  <w:style w:type="character" w:styleId="Numeroriga">
    <w:name w:val="line number"/>
    <w:basedOn w:val="Carpredefinitoparagrafo"/>
    <w:locked/>
    <w:rsid w:val="006E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7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6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BD580-51D9-47C6-89A8-3C4343ED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Wnv (flavi flavi) is ah arbovirus circolating between mosquito( vector) a AND wild birds (reservoire) this virus could infect human beings and horses like dead end hosts</vt:lpstr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Wnv (flavi flavi) is ah arbovirus circolating between mosquito( vector) a AND wild birds (reservoire) this virus could infect human beings and horses like dead end hosts</dc:title>
  <dc:creator>matca</dc:creator>
  <cp:lastModifiedBy>mattia.calzolari</cp:lastModifiedBy>
  <cp:revision>3</cp:revision>
  <cp:lastPrinted>2015-03-10T12:18:00Z</cp:lastPrinted>
  <dcterms:created xsi:type="dcterms:W3CDTF">2015-03-13T13:14:00Z</dcterms:created>
  <dcterms:modified xsi:type="dcterms:W3CDTF">2015-03-13T13:16:00Z</dcterms:modified>
</cp:coreProperties>
</file>