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6233" w14:textId="7E360375" w:rsidR="006568A7" w:rsidRPr="006568A7" w:rsidRDefault="006568A7" w:rsidP="00FA6C3E">
      <w:pPr>
        <w:spacing w:line="480" w:lineRule="auto"/>
        <w:jc w:val="both"/>
        <w:rPr>
          <w:sz w:val="32"/>
          <w:szCs w:val="32"/>
        </w:rPr>
      </w:pPr>
      <w:r w:rsidRPr="006568A7">
        <w:rPr>
          <w:sz w:val="32"/>
          <w:szCs w:val="32"/>
        </w:rPr>
        <w:t>Search strategy and selection criteria</w:t>
      </w:r>
    </w:p>
    <w:p w14:paraId="6039662D" w14:textId="05298ED2" w:rsidR="0021575B" w:rsidRDefault="0021575B" w:rsidP="00FA6C3E">
      <w:pPr>
        <w:spacing w:line="480" w:lineRule="auto"/>
        <w:jc w:val="both"/>
      </w:pPr>
      <w:r>
        <w:t xml:space="preserve">PubMed and EMBASE databases were searched for potentially-relevant publications reporting HSV-1 prevalence and/or incidence and published from 2005 onwards. </w:t>
      </w:r>
      <w:proofErr w:type="spellStart"/>
      <w:r>
        <w:t>MeSH</w:t>
      </w:r>
      <w:proofErr w:type="spellEnd"/>
      <w:r>
        <w:t xml:space="preserve"> terms used in the PubMed search (date of search 12</w:t>
      </w:r>
      <w:r w:rsidRPr="00CD1FA6">
        <w:t>/</w:t>
      </w:r>
      <w:r>
        <w:t>02/2014) included “</w:t>
      </w:r>
      <w:proofErr w:type="spellStart"/>
      <w:r w:rsidRPr="00CD1FA6">
        <w:t>sero</w:t>
      </w:r>
      <w:r>
        <w:t>epidemiologic</w:t>
      </w:r>
      <w:proofErr w:type="spellEnd"/>
      <w:r>
        <w:t xml:space="preserve"> studies”, “</w:t>
      </w:r>
      <w:r w:rsidRPr="00CD1FA6">
        <w:t>prevalence</w:t>
      </w:r>
      <w:r>
        <w:t>”, “cross-sectional studies”, “incidence”, “cohort studies”, “follow-</w:t>
      </w:r>
      <w:r w:rsidRPr="00CD1FA6">
        <w:t>up</w:t>
      </w:r>
      <w:r>
        <w:t xml:space="preserve"> studies”, “longitudinal studies”, “time factors”, “prospective studies” OR “survival analysis”; AND: “</w:t>
      </w:r>
      <w:proofErr w:type="spellStart"/>
      <w:r>
        <w:t>simplexvirus</w:t>
      </w:r>
      <w:proofErr w:type="spellEnd"/>
      <w:r>
        <w:t>”, “herpes simplex”, “herpesvirus 1, human”, “herpesvirus 2, human”, “</w:t>
      </w:r>
      <w:r w:rsidRPr="00CD1FA6">
        <w:t xml:space="preserve">herpes </w:t>
      </w:r>
      <w:proofErr w:type="spellStart"/>
      <w:r w:rsidRPr="00CD1FA6">
        <w:t>genitalis</w:t>
      </w:r>
      <w:proofErr w:type="spellEnd"/>
      <w:r>
        <w:t xml:space="preserve">”, “herpes </w:t>
      </w:r>
      <w:proofErr w:type="spellStart"/>
      <w:r>
        <w:t>labialis</w:t>
      </w:r>
      <w:proofErr w:type="spellEnd"/>
      <w:r>
        <w:t xml:space="preserve">“ OR “stomatitis, herpetic”. Subject headings used in the EMBASE search (date of search 23/10/2013) were “Herpes simplex virus”, “Herpes simplex virus 1”, “Herpes simplex virus 2”, “herpes simplex”, “genital herpes” OR “herpes </w:t>
      </w:r>
      <w:proofErr w:type="spellStart"/>
      <w:r>
        <w:t>labialis</w:t>
      </w:r>
      <w:proofErr w:type="spellEnd"/>
      <w:r>
        <w:t>”; AND: “</w:t>
      </w:r>
      <w:proofErr w:type="spellStart"/>
      <w:r>
        <w:t>seroepidemiology</w:t>
      </w:r>
      <w:proofErr w:type="spellEnd"/>
      <w:r>
        <w:t>”, “incidence” OR “prevalence”;</w:t>
      </w:r>
      <w:r w:rsidRPr="00571940">
        <w:t xml:space="preserve"> </w:t>
      </w:r>
      <w:r>
        <w:t xml:space="preserve">filters: human. No other restrictions were placed on the searches </w:t>
      </w:r>
      <w:r w:rsidRPr="0072556A">
        <w:t xml:space="preserve">including with </w:t>
      </w:r>
      <w:r>
        <w:t xml:space="preserve">respect </w:t>
      </w:r>
      <w:r w:rsidRPr="0072556A">
        <w:t xml:space="preserve">to language. </w:t>
      </w:r>
      <w:r>
        <w:t>Reference lists of key publications were also searched for additional publications with relevant data.</w:t>
      </w:r>
      <w:r w:rsidRPr="00EC663B">
        <w:t xml:space="preserve"> </w:t>
      </w:r>
      <w:r>
        <w:t xml:space="preserve">Data from publications published prior to 2005 have been extracted </w:t>
      </w:r>
      <w:proofErr w:type="gramStart"/>
      <w:r>
        <w:t>previously</w:t>
      </w:r>
      <w:proofErr w:type="gramEnd"/>
      <w:r>
        <w:fldChar w:fldCharType="begin">
          <w:fldData xml:space="preserve">PEVuZE5vdGU+PENpdGU+PEF1dGhvcj5Mb29rZXI8L0F1dGhvcj48WWVhcj4yMDA4PC9ZZWFyPjxS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b2RpY2FsPjxwYWdlcz5TMy0yODwvcGFnZXM+PHZvbHVtZT4xODYgU3VwcGwgMTwvdm9sdW1lPjxl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</w:fldData>
        </w:fldChar>
      </w:r>
      <w:r w:rsidR="00B00EC5">
        <w:instrText xml:space="preserve"> ADDIN EN.CITE </w:instrText>
      </w:r>
      <w:r w:rsidR="00B00EC5">
        <w:fldChar w:fldCharType="begin">
          <w:fldData xml:space="preserve">PEVuZE5vdGU+PENpdGU+PEF1dGhvcj5Mb29rZXI8L0F1dGhvcj48WWVhcj4yMDA4PC9ZZWFyPjxS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b2RpY2FsPjxwYWdlcz5TMy0yODwvcGFnZXM+PHZvbHVtZT4xODYgU3VwcGwgMTwvdm9sdW1lPjxl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</w:fldData>
        </w:fldChar>
      </w:r>
      <w:r w:rsidR="00B00EC5">
        <w:instrText xml:space="preserve"> ADDIN EN.CITE.DATA </w:instrText>
      </w:r>
      <w:r w:rsidR="00B00EC5">
        <w:fldChar w:fldCharType="end"/>
      </w:r>
      <w:r>
        <w:fldChar w:fldCharType="separate"/>
      </w:r>
      <w:r w:rsidR="00B00EC5">
        <w:rPr>
          <w:noProof/>
        </w:rPr>
        <w:t>[</w:t>
      </w:r>
      <w:hyperlink w:anchor="_ENREF_1" w:tooltip="Looker, 2008 #7" w:history="1">
        <w:r w:rsidR="00B00EC5">
          <w:rPr>
            <w:noProof/>
          </w:rPr>
          <w:t>1</w:t>
        </w:r>
      </w:hyperlink>
      <w:r w:rsidR="00B00EC5">
        <w:rPr>
          <w:noProof/>
        </w:rPr>
        <w:t>,</w:t>
      </w:r>
      <w:hyperlink w:anchor="_ENREF_2" w:tooltip="Smith, 2002 #8" w:history="1">
        <w:r w:rsidR="00B00EC5">
          <w:rPr>
            <w:noProof/>
          </w:rPr>
          <w:t>2</w:t>
        </w:r>
      </w:hyperlink>
      <w:r w:rsidR="00B00EC5">
        <w:rPr>
          <w:noProof/>
        </w:rPr>
        <w:t>]</w:t>
      </w:r>
      <w:r>
        <w:fldChar w:fldCharType="end"/>
      </w:r>
      <w:r>
        <w:t xml:space="preserve"> and were also included if the </w:t>
      </w:r>
      <w:r w:rsidR="004F1199">
        <w:t>selection</w:t>
      </w:r>
      <w:r w:rsidR="00AA065B">
        <w:t xml:space="preserve"> </w:t>
      </w:r>
      <w:r>
        <w:t>criteria were met.</w:t>
      </w:r>
    </w:p>
    <w:p w14:paraId="1511BE9E" w14:textId="77777777" w:rsidR="0021575B" w:rsidRDefault="0021575B" w:rsidP="00FA6C3E">
      <w:pPr>
        <w:spacing w:line="480" w:lineRule="auto"/>
        <w:jc w:val="both"/>
      </w:pPr>
      <w:r>
        <w:t>We defined HSV-1 prevalence as the percentage of individuals with type-specific IgG antibodies (in blood/serum) to HSV-1 cross-</w:t>
      </w:r>
      <w:proofErr w:type="spellStart"/>
      <w:r>
        <w:t>sectionally</w:t>
      </w:r>
      <w:proofErr w:type="spellEnd"/>
      <w:r>
        <w:t xml:space="preserve">. HSV-1 incidence was defined as the rate or risk of IgG seroconversion to HSV-1. Where not given directly in tables or text, we calculated these from given numbers where possible, or took estimated values from graphs. Studies were required to give some detail of study location (at the minimum, the country or countries in which the study was conducted) and some information on age (mean, median or range). Prevalence and incidence rates were extracted both stratified and </w:t>
      </w:r>
      <w:proofErr w:type="spellStart"/>
      <w:r>
        <w:t>unstratifed</w:t>
      </w:r>
      <w:proofErr w:type="spellEnd"/>
      <w:r>
        <w:t xml:space="preserve"> by age and sex. If more than one publication presented findings from the same study, then unique data with the largest sample size were extracted (but all relevant publications listed). We used weighted or adjusted prevalence values where given. Where comparison results from more than one test were presented, we extracted those results from the </w:t>
      </w:r>
      <w:proofErr w:type="gramStart"/>
      <w:r>
        <w:lastRenderedPageBreak/>
        <w:t>assay</w:t>
      </w:r>
      <w:proofErr w:type="gramEnd"/>
      <w:r>
        <w:t xml:space="preserve"> or method considered to have the highest sensitivity and specificity. Equivocal samples, where not resolved by retesting, were excluded from both numerator and denominator. </w:t>
      </w:r>
    </w:p>
    <w:p w14:paraId="64CA66F2" w14:textId="77777777" w:rsidR="0021575B" w:rsidRDefault="0021575B" w:rsidP="00FA6C3E">
      <w:pPr>
        <w:spacing w:line="480" w:lineRule="auto"/>
        <w:jc w:val="both"/>
      </w:pPr>
      <w:r>
        <w:t xml:space="preserve">Studies were excluded if participants were selected on the basis of having a medical condition. The rationale for this was that this condition may be associated with HSV infection, and/or prevalence in this group may not be generalizable to the general population. Excluded studies included studies of individuals with atopy, individuals undergoing transplantations, individuals with eye infections, and individuals with a genital or urinary tract infection. Additionally, studies were excluded if selection of study participants could lead to a bias in the subsequent estimates; for example, if participants were selected on the basis of having a history of cold sores. Where applicable, incidence rates were extracted only for those individuals in the control arm for interventions which might alter HSV-1 risk, and on an intention-to-treat basis. </w:t>
      </w:r>
    </w:p>
    <w:p w14:paraId="43DC50EB" w14:textId="7F0547C1" w:rsidR="0021575B" w:rsidRDefault="0021575B" w:rsidP="00FA6C3E">
      <w:pPr>
        <w:spacing w:line="480" w:lineRule="auto"/>
        <w:jc w:val="both"/>
      </w:pPr>
      <w:r>
        <w:t>Only prevalence values from general populations were retained for the analyses</w:t>
      </w:r>
      <w:r w:rsidR="00474E16">
        <w:t>: d</w:t>
      </w:r>
      <w:r w:rsidR="00AC64A0" w:rsidRPr="00AC64A0">
        <w:t xml:space="preserve">ata from specialised study populations were not used. Examples of such populations </w:t>
      </w:r>
      <w:r w:rsidR="00AC64A0">
        <w:t xml:space="preserve">were </w:t>
      </w:r>
      <w:r w:rsidR="00AC64A0" w:rsidRPr="00AC64A0">
        <w:t>men who have sex with men, STI clinic attendees, and commercial sex workers.</w:t>
      </w:r>
      <w:r w:rsidR="00381DEE">
        <w:t xml:space="preserve"> W</w:t>
      </w:r>
      <w:r w:rsidR="00381DEE" w:rsidRPr="00381DEE">
        <w:t xml:space="preserve">e </w:t>
      </w:r>
      <w:r w:rsidR="00381DEE">
        <w:t xml:space="preserve">also </w:t>
      </w:r>
      <w:r w:rsidR="00381DEE" w:rsidRPr="00381DEE">
        <w:t>did not use data from those studies where enrolment was based on a pa</w:t>
      </w:r>
      <w:r w:rsidR="00381DEE">
        <w:t>rticular minority subpopulation.</w:t>
      </w:r>
    </w:p>
    <w:p w14:paraId="6C644DC0" w14:textId="5F07A996" w:rsidR="006568A7" w:rsidRPr="006568A7" w:rsidRDefault="006568A7" w:rsidP="00FA6C3E">
      <w:pPr>
        <w:spacing w:line="480" w:lineRule="auto"/>
        <w:jc w:val="both"/>
        <w:rPr>
          <w:sz w:val="32"/>
          <w:szCs w:val="32"/>
        </w:rPr>
      </w:pPr>
      <w:r w:rsidRPr="006568A7">
        <w:rPr>
          <w:sz w:val="32"/>
          <w:szCs w:val="32"/>
        </w:rPr>
        <w:t>Calculation of HSV-1 prevalence and incidence estimates</w:t>
      </w:r>
    </w:p>
    <w:p w14:paraId="3C6C8E2E" w14:textId="1352B308" w:rsidR="0021575B" w:rsidRDefault="0021575B" w:rsidP="00FA6C3E">
      <w:pPr>
        <w:spacing w:line="480" w:lineRule="auto"/>
        <w:jc w:val="both"/>
      </w:pPr>
      <w:r>
        <w:t xml:space="preserve">Estimates of the burden of prevalent and incident HSV-1 infection were generated for each of the 6 WHO regions: the Americas, </w:t>
      </w:r>
      <w:r w:rsidRPr="00DF0911">
        <w:t>Africa</w:t>
      </w:r>
      <w:r>
        <w:t xml:space="preserve">, </w:t>
      </w:r>
      <w:r w:rsidRPr="00DF0911">
        <w:t>Eastern Mediterranean</w:t>
      </w:r>
      <w:r>
        <w:t xml:space="preserve">, </w:t>
      </w:r>
      <w:r w:rsidRPr="00DF0911">
        <w:t>Europe</w:t>
      </w:r>
      <w:r>
        <w:t xml:space="preserve">, South-East Asia and </w:t>
      </w:r>
      <w:r w:rsidRPr="00DF0911">
        <w:t>Western Pacific</w:t>
      </w:r>
      <w:r w:rsidR="003673D2">
        <w:t xml:space="preserve"> (</w:t>
      </w:r>
      <w:r w:rsidR="007119CF">
        <w:t>S1</w:t>
      </w:r>
      <w:r w:rsidR="003673D2">
        <w:t xml:space="preserve"> Table</w:t>
      </w:r>
      <w:r w:rsidR="007119CF">
        <w:t>)</w:t>
      </w:r>
      <w:r>
        <w:t xml:space="preserve">. Age-stratified prevalence was used preferentially over </w:t>
      </w:r>
      <w:proofErr w:type="spellStart"/>
      <w:r>
        <w:t>unstratified</w:t>
      </w:r>
      <w:proofErr w:type="spellEnd"/>
      <w:r>
        <w:t xml:space="preserve"> prevalence. Specific regional </w:t>
      </w:r>
      <w:r w:rsidR="00F3489E" w:rsidRPr="0020468F">
        <w:t>criteria</w:t>
      </w:r>
      <w:r w:rsidR="00F3489E">
        <w:t xml:space="preserve"> for use in the estimates </w:t>
      </w:r>
      <w:r w:rsidRPr="0020468F">
        <w:t xml:space="preserve">were </w:t>
      </w:r>
      <w:r>
        <w:t xml:space="preserve">also </w:t>
      </w:r>
      <w:r w:rsidRPr="0020468F">
        <w:t>applied depending on data availability by sex and stu</w:t>
      </w:r>
      <w:r>
        <w:t>dy year for each region (S2</w:t>
      </w:r>
      <w:r w:rsidR="003673D2">
        <w:t xml:space="preserve"> Table</w:t>
      </w:r>
      <w:r w:rsidRPr="0020468F">
        <w:t>).</w:t>
      </w:r>
      <w:r w:rsidRPr="00B91125">
        <w:t xml:space="preserve"> </w:t>
      </w:r>
      <w:r>
        <w:t>In particular, only those prevalence values from studies from 2000 onwards were used, except for Africa</w:t>
      </w:r>
      <w:r w:rsidR="00494A58">
        <w:t xml:space="preserve"> and South-East Asia</w:t>
      </w:r>
      <w:r>
        <w:t>, where prevalence values from 1995 onwards were used due to poor data availability. Data availability allowed fitting by sex for the Americas and Europe only.</w:t>
      </w:r>
      <w:r w:rsidRPr="00EE3B53">
        <w:t xml:space="preserve"> </w:t>
      </w:r>
    </w:p>
    <w:p w14:paraId="2B974305" w14:textId="77777777" w:rsidR="0021575B" w:rsidRPr="00DD24F7" w:rsidRDefault="0021575B" w:rsidP="00FA6C3E">
      <w:pPr>
        <w:spacing w:line="480" w:lineRule="auto"/>
        <w:jc w:val="both"/>
        <w:rPr>
          <w:sz w:val="20"/>
          <w:szCs w:val="20"/>
        </w:rPr>
      </w:pPr>
      <w:r>
        <w:lastRenderedPageBreak/>
        <w:t>A sample size of 20 or more was required for use in the estimates; age strata with sample sizes smaller than this were combined and applied to both categories of age. S</w:t>
      </w:r>
      <w:r w:rsidRPr="00152B50">
        <w:t>ample sizes</w:t>
      </w:r>
      <w:r>
        <w:t xml:space="preserve"> for age strata</w:t>
      </w:r>
      <w:r w:rsidRPr="00152B50">
        <w:t xml:space="preserve"> </w:t>
      </w:r>
      <w:r>
        <w:t xml:space="preserve">where </w:t>
      </w:r>
      <w:r w:rsidRPr="00152B50">
        <w:t xml:space="preserve">not given were estimated </w:t>
      </w:r>
      <w:r>
        <w:t>from the total sample size and widths of the age strata</w:t>
      </w:r>
      <w:r w:rsidRPr="00152B50">
        <w:t xml:space="preserve">. </w:t>
      </w:r>
      <w:r>
        <w:t>The mean or median age was used where given. T</w:t>
      </w:r>
      <w:r w:rsidRPr="00152B50">
        <w:t xml:space="preserve">he mid-point was </w:t>
      </w:r>
      <w:r>
        <w:t>used for age reported in ranges</w:t>
      </w:r>
      <w:r w:rsidRPr="00152B50">
        <w:t xml:space="preserve">. </w:t>
      </w:r>
      <w:r>
        <w:t>Age limits for age in ranges where not defined were assumed to extend for 10 years (e.g., &lt;25 years → 15-24; ≥3</w:t>
      </w:r>
      <w:r w:rsidRPr="00152B50">
        <w:t>5 years</w:t>
      </w:r>
      <w:r>
        <w:t xml:space="preserve"> → 35-44</w:t>
      </w:r>
      <w:r w:rsidRPr="00152B50">
        <w:t>)</w:t>
      </w:r>
      <w:r>
        <w:t>.</w:t>
      </w:r>
      <w:r w:rsidRPr="00152B50">
        <w:t xml:space="preserve"> </w:t>
      </w:r>
      <w:r>
        <w:t>This was applied in all cases regardless as to the study population (e.g., if the study included children or not); however the overall age range of the entire sample was used to delineate age strata where possible. Mean/median ages</w:t>
      </w:r>
      <w:r w:rsidRPr="00152B50">
        <w:t xml:space="preserve"> and mid</w:t>
      </w:r>
      <w:r>
        <w:t>-</w:t>
      </w:r>
      <w:r w:rsidRPr="00152B50">
        <w:t xml:space="preserve">points of ages were then grouped as follows: </w:t>
      </w:r>
      <w:r>
        <w:t xml:space="preserve">0-4; 5-9; 10-14; </w:t>
      </w:r>
      <w:r w:rsidRPr="00152B50">
        <w:t>15-</w:t>
      </w:r>
      <w:r>
        <w:t>19; 20-24; 25-29; 30-34; 35-39; 40-44</w:t>
      </w:r>
      <w:r w:rsidRPr="00152B50">
        <w:t xml:space="preserve"> and 45-49 years.</w:t>
      </w:r>
      <w:r>
        <w:t xml:space="preserve"> </w:t>
      </w:r>
    </w:p>
    <w:p w14:paraId="64F2D528" w14:textId="14B80972" w:rsidR="0021575B" w:rsidRDefault="0021575B" w:rsidP="00FA6C3E">
      <w:pPr>
        <w:spacing w:line="480" w:lineRule="auto"/>
        <w:jc w:val="both"/>
      </w:pPr>
      <w:r>
        <w:t xml:space="preserve">We adjusted each prevalence value for the sensitivity and specificity of the assay </w:t>
      </w:r>
      <w:r w:rsidRPr="001A22C7">
        <w:t>used</w:t>
      </w:r>
      <w:r w:rsidRPr="001A22C7">
        <w:fldChar w:fldCharType="begin"/>
      </w:r>
      <w:r w:rsidR="00B00EC5">
        <w:instrText xml:space="preserve"> ADDIN EN.CITE &lt;EndNote&gt;&lt;Cite&gt;&lt;Author&gt;Kelsey&lt;/Author&gt;&lt;Year&gt;1986&lt;/Year&gt;&lt;RecNum&gt;81&lt;/RecNum&gt;&lt;DisplayText&gt;[3]&lt;/DisplayText&gt;&lt;record&gt;&lt;rec-number&gt;81&lt;/rec-number&gt;&lt;foreign-keys&gt;&lt;key app="EN" db-id="20wzaadsya5vxreertmpvrzmvxza55faedpw" timestamp="1403605616"&gt;81&lt;/key&gt;&lt;/foreign-keys&gt;&lt;ref-type name="Book"&gt;6&lt;/ref-type&gt;&lt;contributors&gt;&lt;authors&gt;&lt;author&gt;Kelsey, J. L.&lt;/author&gt;&lt;author&gt;Thompson, W. D.&lt;/author&gt;&lt;author&gt;Evans, A. S.&lt;/author&gt;&lt;/authors&gt;&lt;/contributors&gt;&lt;titles&gt;&lt;title&gt;Methods in Observational Epidemiology (Monographs in Epidemiology &amp;amp; Biostatistics)&lt;/title&gt;&lt;/titles&gt;&lt;dates&gt;&lt;year&gt;1986&lt;/year&gt;&lt;/dates&gt;&lt;publisher&gt;Oxford University Press&lt;/publisher&gt;&lt;urls&gt;&lt;/urls&gt;&lt;/record&gt;&lt;/Cite&gt;&lt;/EndNote&gt;</w:instrText>
      </w:r>
      <w:r w:rsidRPr="001A22C7">
        <w:fldChar w:fldCharType="separate"/>
      </w:r>
      <w:r w:rsidR="00B00EC5">
        <w:rPr>
          <w:noProof/>
        </w:rPr>
        <w:t>[</w:t>
      </w:r>
      <w:hyperlink w:anchor="_ENREF_3" w:tooltip="Kelsey, 1986 #81" w:history="1">
        <w:r w:rsidR="00B00EC5">
          <w:rPr>
            <w:noProof/>
          </w:rPr>
          <w:t>3</w:t>
        </w:r>
      </w:hyperlink>
      <w:r w:rsidR="00B00EC5">
        <w:rPr>
          <w:noProof/>
        </w:rPr>
        <w:t>]</w:t>
      </w:r>
      <w:r w:rsidRPr="001A22C7">
        <w:fldChar w:fldCharType="end"/>
      </w:r>
      <w:r w:rsidRPr="001A22C7">
        <w:t>, according</w:t>
      </w:r>
      <w:r>
        <w:t xml:space="preserve"> to the package insert of the assay, USA Food and Drug Administration (FDA) documentation or published test performance</w:t>
      </w:r>
      <w:r>
        <w:fldChar w:fldCharType="begin"/>
      </w:r>
      <w:r w:rsidR="00B00EC5">
        <w:instrText xml:space="preserve"> ADDIN EN.CITE &lt;EndNote&gt;&lt;Cite&gt;&lt;Author&gt;J.&lt;/Author&gt;&lt;Year&gt;1998&lt;/Year&gt;&lt;RecNum&gt;102&lt;/RecNum&gt;&lt;DisplayText&gt;[4,5]&lt;/DisplayText&gt;&lt;record&gt;&lt;rec-number&gt;102&lt;/rec-number&gt;&lt;foreign-keys&gt;&lt;key app="EN" db-id="20wzaadsya5vxreertmpvrzmvxza55faedpw" timestamp="1412243092"&gt;102&lt;/key&gt;&lt;/foreign-keys&gt;&lt;ref-type name="Journal Article"&gt;17&lt;/ref-type&gt;&lt;contributors&gt;&lt;authors&gt;&lt;author&gt;Groen, J.&lt;/author&gt;&lt;author&gt;Van Dijk, G.&lt;/author&gt;&lt;author&gt;Niesters, H. G.&lt;/author&gt;&lt;author&gt;Van Der Meijden, W. I.&lt;/author&gt;&lt;author&gt;Osterhaus, A. D.&lt;/author&gt;&lt;/authors&gt;&lt;/contributors&gt;&lt;titles&gt;&lt;title&gt;Comparison of two enzyme-linked immunosorbent assays and one rapid immunoblot assay for detection of herpes simplex virus type 2-specific antibodies in serum&lt;/title&gt;&lt;secondary-title&gt;J Clin Microbiol&lt;/secondary-title&gt;&lt;/titles&gt;&lt;periodical&gt;&lt;full-title&gt;J Clin Microbiol&lt;/full-title&gt;&lt;abbr-1&gt;Journal of clinical microbiology&lt;/abbr-1&gt;&lt;/periodical&gt;&lt;pages&gt;845-7&lt;/pages&gt;&lt;volume&gt;36&lt;/volume&gt;&lt;number&gt;3&lt;/number&gt;&lt;dates&gt;&lt;year&gt;1998&lt;/year&gt;&lt;/dates&gt;&lt;urls&gt;&lt;/urls&gt;&lt;/record&gt;&lt;/Cite&gt;&lt;Cite&gt;&lt;Author&gt;A.&lt;/Author&gt;&lt;Year&gt;2002&lt;/Year&gt;&lt;RecNum&gt;104&lt;/RecNum&gt;&lt;record&gt;&lt;rec-number&gt;104&lt;/rec-number&gt;&lt;foreign-keys&gt;&lt;key app="EN" db-id="20wzaadsya5vxreertmpvrzmvxza55faedpw" timestamp="1412243834"&gt;104&lt;/key&gt;&lt;/foreign-keys&gt;&lt;ref-type name="Journal Article"&gt;17&lt;/ref-type&gt;&lt;contributors&gt;&lt;authors&gt;&lt;author&gt;Ribes, J. A. &lt;/author&gt;&lt;author&gt;Smith, A.&lt;/author&gt;&lt;author&gt;Hayes, M.&lt;/author&gt;&lt;author&gt;Baker, D. J.&lt;/author&gt;&lt;author&gt;Winters, J. L.&lt;/author&gt;&lt;/authors&gt;&lt;/contributors&gt;&lt;titles&gt;&lt;title&gt;Comparative performance of herpes simplex virus type 1-specific serologic assays from MRL and Meridian Diagnostics&lt;/title&gt;&lt;secondary-title&gt;J Clin Microbiol&lt;/secondary-title&gt;&lt;/titles&gt;&lt;periodical&gt;&lt;full-title&gt;J Clin Microbiol&lt;/full-title&gt;&lt;abbr-1&gt;Journal of clinical microbiology&lt;/abbr-1&gt;&lt;/periodical&gt;&lt;pages&gt;1071-2&lt;/pages&gt;&lt;volume&gt;40&lt;/volume&gt;&lt;number&gt;3&lt;/number&gt;&lt;dates&gt;&lt;year&gt;2002&lt;/year&gt;&lt;/dates&gt;&lt;urls&gt;&lt;/urls&gt;&lt;/record&gt;&lt;/Cite&gt;&lt;/EndNote&gt;</w:instrText>
      </w:r>
      <w:r>
        <w:fldChar w:fldCharType="separate"/>
      </w:r>
      <w:r w:rsidR="00B00EC5">
        <w:rPr>
          <w:noProof/>
        </w:rPr>
        <w:t>[</w:t>
      </w:r>
      <w:hyperlink w:anchor="_ENREF_4" w:tooltip="Groen, 1998 #102" w:history="1">
        <w:r w:rsidR="00B00EC5">
          <w:rPr>
            <w:noProof/>
          </w:rPr>
          <w:t>4</w:t>
        </w:r>
      </w:hyperlink>
      <w:r w:rsidR="00B00EC5">
        <w:rPr>
          <w:noProof/>
        </w:rPr>
        <w:t>,</w:t>
      </w:r>
      <w:hyperlink w:anchor="_ENREF_5" w:tooltip="Ribes, 2002 #104" w:history="1">
        <w:r w:rsidR="00B00EC5">
          <w:rPr>
            <w:noProof/>
          </w:rPr>
          <w:t>5</w:t>
        </w:r>
      </w:hyperlink>
      <w:r w:rsidR="00B00EC5">
        <w:rPr>
          <w:noProof/>
        </w:rPr>
        <w:t>]</w:t>
      </w:r>
      <w:r>
        <w:fldChar w:fldCharType="end"/>
      </w:r>
      <w:r>
        <w:t xml:space="preserve"> and using the following equation, based on Bayes’ rule:</w:t>
      </w:r>
    </w:p>
    <w:p w14:paraId="52E83E2A" w14:textId="77777777" w:rsidR="0021575B" w:rsidRPr="0020468F" w:rsidRDefault="0021575B" w:rsidP="00FA6C3E">
      <w:pPr>
        <w:spacing w:line="480" w:lineRule="auto"/>
        <w:jc w:val="both"/>
      </w:pPr>
      <w:r>
        <w:t>Corrected</w:t>
      </w:r>
      <w:r w:rsidRPr="0020468F">
        <w:t xml:space="preserve"> prevalence = (</w:t>
      </w:r>
      <w:r>
        <w:t>Reported</w:t>
      </w:r>
      <w:r w:rsidRPr="0020468F">
        <w:t xml:space="preserve"> prevalence + specificity - 1) / (sensitivity + specificity - 1)</w:t>
      </w:r>
    </w:p>
    <w:p w14:paraId="32A5BAE8" w14:textId="77777777" w:rsidR="0021575B" w:rsidRDefault="0021575B" w:rsidP="00FA6C3E">
      <w:pPr>
        <w:spacing w:line="480" w:lineRule="auto"/>
        <w:jc w:val="both"/>
      </w:pPr>
      <w:proofErr w:type="gramStart"/>
      <w:r w:rsidRPr="0020468F">
        <w:t>with</w:t>
      </w:r>
      <w:proofErr w:type="gramEnd"/>
      <w:r w:rsidRPr="0020468F">
        <w:t xml:space="preserve"> prevalence, sensitivity and specificity expressed as proportions. Where the assay had unknown sensitivity or specificity, sensitivity and specificity values for Focus were applied. Prevalence values of 100% or over generated as a consequence of adjustment were recoded as 99.9%</w:t>
      </w:r>
      <w:r>
        <w:t>.</w:t>
      </w:r>
    </w:p>
    <w:p w14:paraId="1B003478" w14:textId="606BBE15" w:rsidR="0021575B" w:rsidRPr="00435FC2" w:rsidRDefault="0021575B" w:rsidP="00FA6C3E">
      <w:pPr>
        <w:spacing w:line="480" w:lineRule="auto"/>
        <w:jc w:val="both"/>
      </w:pPr>
      <w:r>
        <w:t xml:space="preserve">For each region, pooled prevalence values by 5-year age group from 0-49 years (all regions), and by sex (the Americas and Europe only) were generated in Stata </w:t>
      </w:r>
      <w:r w:rsidRPr="00DF1975">
        <w:t xml:space="preserve">(Stata 13; </w:t>
      </w:r>
      <w:proofErr w:type="spellStart"/>
      <w:r w:rsidRPr="00DF1975">
        <w:t>StataCor</w:t>
      </w:r>
      <w:r>
        <w:t>p</w:t>
      </w:r>
      <w:proofErr w:type="spellEnd"/>
      <w:r>
        <w:t xml:space="preserve">, College Station, Texas, USA). This was done using the </w:t>
      </w:r>
      <w:proofErr w:type="spellStart"/>
      <w:r>
        <w:t>metan</w:t>
      </w:r>
      <w:proofErr w:type="spellEnd"/>
      <w:r>
        <w:t xml:space="preserve"> command to pool the raw log odds of infection weighted by the standard error of the log odds of infection from individual included studies according to the age of each sample, using a random-effect </w:t>
      </w:r>
      <w:r w:rsidRPr="00672A56">
        <w:t xml:space="preserve">model to allow for between- as well as within-study variation. Next we calibrated HSV-1 incidence and the maximum proportion able to be infected </w:t>
      </w:r>
      <w:r>
        <w:t>(to allow for saturation in prevalence below 100% where supported by data)</w:t>
      </w:r>
      <w:r w:rsidRPr="00672A56">
        <w:t xml:space="preserve"> by using </w:t>
      </w:r>
      <w:r w:rsidRPr="00672A56">
        <w:lastRenderedPageBreak/>
        <w:t>maximum likelihood to fit a model with constant HSV-1 incidence by age to the pooled prevalence values</w:t>
      </w:r>
      <w:r w:rsidRPr="00672A56">
        <w:fldChar w:fldCharType="begin"/>
      </w:r>
      <w:r w:rsidR="00B00EC5">
        <w:instrText xml:space="preserve"> ADDIN EN.CITE &lt;EndNote&gt;&lt;Cite&gt;&lt;Author&gt;Muench&lt;/Author&gt;&lt;Year&gt;1959&lt;/Year&gt;&lt;RecNum&gt;43&lt;/RecNum&gt;&lt;DisplayText&gt;[6]&lt;/DisplayText&gt;&lt;record&gt;&lt;rec-number&gt;43&lt;/rec-number&gt;&lt;foreign-keys&gt;&lt;key app="EN" db-id="20wzaadsya5vxreertmpvrzmvxza55faedpw" timestamp="1398245084"&gt;43&lt;/key&gt;&lt;/foreign-keys&gt;&lt;ref-type name="Journal Article"&gt;17&lt;/ref-type&gt;&lt;contributors&gt;&lt;authors&gt;&lt;author&gt;Muench, H.&lt;/author&gt;&lt;/authors&gt;&lt;/contributors&gt;&lt;titles&gt;&lt;title&gt;Catalytic models in epidemiology&lt;/title&gt;&lt;secondary-title&gt;Harvard University Press&lt;/secondary-title&gt;&lt;/titles&gt;&lt;periodical&gt;&lt;full-title&gt;Harvard University Press&lt;/full-title&gt;&lt;/periodical&gt;&lt;dates&gt;&lt;year&gt;1959&lt;/year&gt;&lt;/dates&gt;&lt;urls&gt;&lt;/urls&gt;&lt;/record&gt;&lt;/Cite&gt;&lt;/EndNote&gt;</w:instrText>
      </w:r>
      <w:r w:rsidRPr="00672A56">
        <w:fldChar w:fldCharType="separate"/>
      </w:r>
      <w:r w:rsidR="00B00EC5">
        <w:rPr>
          <w:noProof/>
        </w:rPr>
        <w:t>[</w:t>
      </w:r>
      <w:hyperlink w:anchor="_ENREF_6" w:tooltip="Muench, 1959 #43" w:history="1">
        <w:r w:rsidR="00B00EC5">
          <w:rPr>
            <w:noProof/>
          </w:rPr>
          <w:t>6</w:t>
        </w:r>
      </w:hyperlink>
      <w:r w:rsidR="00B00EC5">
        <w:rPr>
          <w:noProof/>
        </w:rPr>
        <w:t>]</w:t>
      </w:r>
      <w:r w:rsidRPr="00672A56">
        <w:fldChar w:fldCharType="end"/>
      </w:r>
      <w:r w:rsidRPr="00672A56">
        <w:t>. The model equation was as follows:</w:t>
      </w:r>
    </w:p>
    <w:p w14:paraId="71E99F6E" w14:textId="77777777" w:rsidR="0021575B" w:rsidRPr="00435FC2" w:rsidRDefault="0021575B" w:rsidP="00FA6C3E">
      <w:pPr>
        <w:spacing w:line="480" w:lineRule="auto"/>
        <w:jc w:val="both"/>
      </w:pPr>
      <w:proofErr w:type="gramStart"/>
      <w:r w:rsidRPr="00435FC2">
        <w:rPr>
          <w:i/>
          <w:iCs/>
        </w:rPr>
        <w:t>F</w:t>
      </w:r>
      <w:r w:rsidRPr="00435FC2">
        <w:t>(</w:t>
      </w:r>
      <w:proofErr w:type="gramEnd"/>
      <w:r w:rsidRPr="00435FC2">
        <w:rPr>
          <w:i/>
          <w:iCs/>
        </w:rPr>
        <w:t>a</w:t>
      </w:r>
      <w:r w:rsidRPr="00435FC2">
        <w:t xml:space="preserve">) = </w:t>
      </w:r>
      <w:r w:rsidRPr="00435FC2">
        <w:rPr>
          <w:i/>
          <w:iCs/>
        </w:rPr>
        <w:t>k</w:t>
      </w:r>
      <w:r>
        <w:rPr>
          <w:i/>
          <w:iCs/>
        </w:rPr>
        <w:t xml:space="preserve"> </w:t>
      </w:r>
      <w:r w:rsidRPr="00435FC2">
        <w:rPr>
          <w:iCs/>
        </w:rPr>
        <w:t xml:space="preserve">* </w:t>
      </w:r>
      <w:r w:rsidRPr="00435FC2">
        <w:t>(1</w:t>
      </w:r>
      <w:r>
        <w:t xml:space="preserve"> </w:t>
      </w:r>
      <w:r w:rsidRPr="00435FC2">
        <w:t>-</w:t>
      </w:r>
      <w:r>
        <w:t xml:space="preserve"> </w:t>
      </w:r>
      <w:r w:rsidRPr="00435FC2">
        <w:t>e</w:t>
      </w:r>
      <w:r w:rsidRPr="00435FC2">
        <w:rPr>
          <w:vertAlign w:val="superscript"/>
        </w:rPr>
        <w:t>(-λ</w:t>
      </w:r>
      <w:r>
        <w:rPr>
          <w:vertAlign w:val="superscript"/>
        </w:rPr>
        <w:t xml:space="preserve"> * </w:t>
      </w:r>
      <w:r w:rsidRPr="00616F6C">
        <w:rPr>
          <w:i/>
          <w:iCs/>
          <w:vertAlign w:val="superscript"/>
        </w:rPr>
        <w:t>a</w:t>
      </w:r>
      <w:r w:rsidRPr="00435FC2">
        <w:rPr>
          <w:vertAlign w:val="superscript"/>
        </w:rPr>
        <w:t>)</w:t>
      </w:r>
      <w:r w:rsidRPr="00435FC2">
        <w:t>)</w:t>
      </w:r>
    </w:p>
    <w:p w14:paraId="2A9635E0" w14:textId="77777777" w:rsidR="0021575B" w:rsidRDefault="0021575B" w:rsidP="00FA6C3E">
      <w:pPr>
        <w:spacing w:line="480" w:lineRule="auto"/>
        <w:jc w:val="both"/>
      </w:pPr>
      <w:proofErr w:type="gramStart"/>
      <w:r w:rsidRPr="00435FC2">
        <w:t>where</w:t>
      </w:r>
      <w:proofErr w:type="gramEnd"/>
      <w:r w:rsidRPr="00435FC2">
        <w:t xml:space="preserve"> </w:t>
      </w:r>
      <w:r w:rsidRPr="00435FC2">
        <w:rPr>
          <w:i/>
          <w:iCs/>
        </w:rPr>
        <w:t>F</w:t>
      </w:r>
      <w:r w:rsidRPr="00435FC2">
        <w:t>(</w:t>
      </w:r>
      <w:r w:rsidRPr="00435FC2">
        <w:rPr>
          <w:i/>
          <w:iCs/>
        </w:rPr>
        <w:t>a</w:t>
      </w:r>
      <w:r w:rsidRPr="00435FC2">
        <w:t xml:space="preserve">) is the proportion </w:t>
      </w:r>
      <w:r>
        <w:t xml:space="preserve">of individuals HSV-1 </w:t>
      </w:r>
      <w:r w:rsidRPr="00435FC2">
        <w:t xml:space="preserve">seropositive at age </w:t>
      </w:r>
      <w:proofErr w:type="spellStart"/>
      <w:r w:rsidRPr="00435FC2">
        <w:rPr>
          <w:i/>
          <w:iCs/>
        </w:rPr>
        <w:t>a</w:t>
      </w:r>
      <w:proofErr w:type="spellEnd"/>
      <w:r>
        <w:rPr>
          <w:iCs/>
        </w:rPr>
        <w:t xml:space="preserve"> in years (i.e., with prevalent HSV-1 infection)</w:t>
      </w:r>
      <w:r w:rsidRPr="00435FC2">
        <w:t xml:space="preserve">, </w:t>
      </w:r>
      <w:r w:rsidRPr="00435FC2">
        <w:rPr>
          <w:i/>
          <w:iCs/>
        </w:rPr>
        <w:t xml:space="preserve">k </w:t>
      </w:r>
      <w:r w:rsidRPr="00435FC2">
        <w:t xml:space="preserve">is the maximum proportion </w:t>
      </w:r>
      <w:r>
        <w:t xml:space="preserve">of individuals able to be </w:t>
      </w:r>
      <w:r w:rsidRPr="00435FC2">
        <w:t xml:space="preserve">infected </w:t>
      </w:r>
      <w:r>
        <w:t>and</w:t>
      </w:r>
      <w:r w:rsidRPr="00435FC2">
        <w:t xml:space="preserve"> λ is the force of </w:t>
      </w:r>
      <w:r>
        <w:t>infection per year</w:t>
      </w:r>
      <w:r w:rsidRPr="00435FC2">
        <w:t>.</w:t>
      </w:r>
      <w:r>
        <w:t xml:space="preserve"> Although the force of infection is assumed to </w:t>
      </w:r>
      <w:r w:rsidRPr="00672A56">
        <w:t>be constant across all ages, this</w:t>
      </w:r>
      <w:r>
        <w:t xml:space="preserve"> is </w:t>
      </w:r>
      <w:proofErr w:type="gramStart"/>
      <w:r>
        <w:t>a per</w:t>
      </w:r>
      <w:proofErr w:type="gramEnd"/>
      <w:r>
        <w:t xml:space="preserve"> susceptible risk, and hence the number of new infections rapidly declines with age and prevalence is able to “level off”, while the parameter </w:t>
      </w:r>
      <w:r w:rsidRPr="00283E02">
        <w:rPr>
          <w:i/>
        </w:rPr>
        <w:t>k</w:t>
      </w:r>
      <w:r>
        <w:t xml:space="preserve"> allows prevalence to saturate below 100%. Specifically, fitting was done by using the Solver function in Excel to find those values of </w:t>
      </w:r>
      <w:r w:rsidRPr="00435FC2">
        <w:rPr>
          <w:i/>
          <w:iCs/>
        </w:rPr>
        <w:t>k</w:t>
      </w:r>
      <w:r>
        <w:rPr>
          <w:i/>
          <w:iCs/>
        </w:rPr>
        <w:t xml:space="preserve"> </w:t>
      </w:r>
      <w:r w:rsidRPr="00AB6F64">
        <w:rPr>
          <w:iCs/>
        </w:rPr>
        <w:t xml:space="preserve">and </w:t>
      </w:r>
      <w:r w:rsidRPr="00435FC2">
        <w:t>λ</w:t>
      </w:r>
      <w:r>
        <w:t xml:space="preserve"> which maximized the value of: </w:t>
      </w:r>
    </w:p>
    <w:p w14:paraId="5F9D900A" w14:textId="193BA524" w:rsidR="0021575B" w:rsidRPr="004272DB" w:rsidRDefault="0021575B" w:rsidP="00FA6C3E">
      <w:pPr>
        <w:spacing w:line="480" w:lineRule="auto"/>
        <w:jc w:val="both"/>
      </w:pPr>
      <m:oMathPara>
        <m:oMathParaPr>
          <m:jc m:val="left"/>
        </m:oMathParaPr>
        <m:oMath>
          <m:r>
            <w:rPr>
              <w:rFonts w:ascii="Cambria Math" w:hAnsi="Cambria Math"/>
            </w:rPr>
            <m:t>ln</m:t>
          </m:r>
          <m:nary>
            <m:naryPr>
              <m:chr m:val="∏"/>
              <m:limLoc m:val="undOvr"/>
              <m:supHide m:val="1"/>
              <m:ctrlPr>
                <w:rPr>
                  <w:rFonts w:ascii="Cambria Math" w:hAnsi="Cambria Math"/>
                  <w:i/>
                </w:rPr>
              </m:ctrlPr>
            </m:naryPr>
            <m:sub>
              <m:r>
                <w:rPr>
                  <w:rFonts w:ascii="Cambria Math" w:hAnsi="Cambria Math"/>
                </w:rPr>
                <m:t>a</m:t>
              </m:r>
            </m:sub>
            <m:sup/>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F(a)</m:t>
                      </m:r>
                    </m:e>
                    <m:sup>
                      <m:r>
                        <w:rPr>
                          <w:rFonts w:ascii="Cambria Math" w:hAnsi="Cambria Math"/>
                        </w:rPr>
                        <m:t>S(a) * P(a)</m:t>
                      </m:r>
                    </m:sup>
                  </m:sSup>
                  <m:r>
                    <w:rPr>
                      <w:rFonts w:ascii="Cambria Math" w:hAnsi="Cambria Math"/>
                    </w:rPr>
                    <m:t>*</m:t>
                  </m:r>
                  <m:sSup>
                    <m:sSupPr>
                      <m:ctrlPr>
                        <w:rPr>
                          <w:rFonts w:ascii="Cambria Math" w:hAnsi="Cambria Math"/>
                          <w:i/>
                        </w:rPr>
                      </m:ctrlPr>
                    </m:sSupPr>
                    <m:e>
                      <m:r>
                        <w:rPr>
                          <w:rFonts w:ascii="Cambria Math" w:hAnsi="Cambria Math"/>
                        </w:rPr>
                        <m:t>(1-F</m:t>
                      </m:r>
                      <m:d>
                        <m:dPr>
                          <m:ctrlPr>
                            <w:rPr>
                              <w:rFonts w:ascii="Cambria Math" w:hAnsi="Cambria Math"/>
                              <w:i/>
                            </w:rPr>
                          </m:ctrlPr>
                        </m:dPr>
                        <m:e>
                          <m:r>
                            <w:rPr>
                              <w:rFonts w:ascii="Cambria Math" w:hAnsi="Cambria Math"/>
                            </w:rPr>
                            <m:t>a</m:t>
                          </m:r>
                        </m:e>
                      </m:d>
                      <m:r>
                        <w:rPr>
                          <w:rFonts w:ascii="Cambria Math" w:hAnsi="Cambria Math"/>
                        </w:rPr>
                        <m:t>)</m:t>
                      </m:r>
                    </m:e>
                    <m:sup>
                      <m:r>
                        <w:rPr>
                          <w:rFonts w:ascii="Cambria Math" w:hAnsi="Cambria Math"/>
                        </w:rPr>
                        <m:t>S(a) * (1-P</m:t>
                      </m:r>
                      <m:d>
                        <m:dPr>
                          <m:ctrlPr>
                            <w:rPr>
                              <w:rFonts w:ascii="Cambria Math" w:hAnsi="Cambria Math"/>
                              <w:i/>
                            </w:rPr>
                          </m:ctrlPr>
                        </m:dPr>
                        <m:e>
                          <m:r>
                            <w:rPr>
                              <w:rFonts w:ascii="Cambria Math" w:hAnsi="Cambria Math"/>
                            </w:rPr>
                            <m:t>a</m:t>
                          </m:r>
                        </m:e>
                      </m:d>
                      <m:r>
                        <w:rPr>
                          <w:rFonts w:ascii="Cambria Math" w:hAnsi="Cambria Math"/>
                        </w:rPr>
                        <m:t>)</m:t>
                      </m:r>
                    </m:sup>
                  </m:sSup>
                </m:e>
              </m:d>
            </m:e>
          </m:nary>
        </m:oMath>
      </m:oMathPara>
    </w:p>
    <w:p w14:paraId="3AABBC48" w14:textId="77777777" w:rsidR="0021575B" w:rsidRDefault="0021575B" w:rsidP="00FA6C3E">
      <w:pPr>
        <w:spacing w:line="480" w:lineRule="auto"/>
        <w:jc w:val="both"/>
      </w:pPr>
      <w:proofErr w:type="gramStart"/>
      <w:r>
        <w:t>where</w:t>
      </w:r>
      <w:proofErr w:type="gramEnd"/>
      <w:r>
        <w:t xml:space="preserve"> </w:t>
      </w:r>
      <w:r w:rsidRPr="004272DB">
        <w:rPr>
          <w:i/>
        </w:rPr>
        <w:t>a</w:t>
      </w:r>
      <w:r>
        <w:t xml:space="preserve"> is the mid-point of each 5-year age group, </w:t>
      </w:r>
      <w:r w:rsidRPr="004272DB">
        <w:rPr>
          <w:i/>
        </w:rPr>
        <w:t>S</w:t>
      </w:r>
      <w:r>
        <w:t>(</w:t>
      </w:r>
      <w:r w:rsidRPr="004272DB">
        <w:rPr>
          <w:i/>
        </w:rPr>
        <w:t>a</w:t>
      </w:r>
      <w:r>
        <w:t xml:space="preserve">) is the total sample size (from summing across all studies) and </w:t>
      </w:r>
      <w:r w:rsidRPr="004272DB">
        <w:rPr>
          <w:i/>
        </w:rPr>
        <w:t>P</w:t>
      </w:r>
      <w:r>
        <w:t>(</w:t>
      </w:r>
      <w:r w:rsidRPr="004272DB">
        <w:rPr>
          <w:i/>
        </w:rPr>
        <w:t>a</w:t>
      </w:r>
      <w:r>
        <w:t xml:space="preserve">) is the pooled HSV-1 prevalence. </w:t>
      </w:r>
    </w:p>
    <w:p w14:paraId="6962D82A" w14:textId="331A22A6" w:rsidR="0021575B" w:rsidRPr="00435FC2" w:rsidRDefault="0021575B" w:rsidP="00FA6C3E">
      <w:pPr>
        <w:spacing w:line="480" w:lineRule="auto"/>
        <w:jc w:val="both"/>
      </w:pPr>
      <w:r w:rsidRPr="00435FC2">
        <w:t xml:space="preserve">Once λ and </w:t>
      </w:r>
      <w:r w:rsidRPr="00435FC2">
        <w:rPr>
          <w:i/>
        </w:rPr>
        <w:t>k</w:t>
      </w:r>
      <w:r w:rsidRPr="00435FC2">
        <w:t xml:space="preserve"> were computed, the</w:t>
      </w:r>
      <w:r>
        <w:t xml:space="preserve"> smoothed</w:t>
      </w:r>
      <w:r w:rsidRPr="00435FC2">
        <w:t xml:space="preserve"> </w:t>
      </w:r>
      <w:r>
        <w:t>HSV-1</w:t>
      </w:r>
      <w:r w:rsidRPr="00435FC2">
        <w:t xml:space="preserve"> seroprevalence estimates by </w:t>
      </w:r>
      <w:r>
        <w:t>5-year age group</w:t>
      </w:r>
      <w:r w:rsidRPr="00435FC2">
        <w:t xml:space="preserve"> </w:t>
      </w:r>
      <w:r>
        <w:t xml:space="preserve">(and by sex where feasible) </w:t>
      </w:r>
      <w:r w:rsidRPr="00435FC2">
        <w:t>resulting from the model fits (</w:t>
      </w:r>
      <w:r w:rsidRPr="00435FC2">
        <w:rPr>
          <w:i/>
          <w:iCs/>
        </w:rPr>
        <w:t>F</w:t>
      </w:r>
      <w:r w:rsidRPr="00435FC2">
        <w:t>(</w:t>
      </w:r>
      <w:r w:rsidRPr="00435FC2">
        <w:rPr>
          <w:i/>
          <w:iCs/>
        </w:rPr>
        <w:t>a</w:t>
      </w:r>
      <w:r w:rsidRPr="00435FC2">
        <w:t xml:space="preserve">)) were then multiplied by </w:t>
      </w:r>
      <w:r>
        <w:t xml:space="preserve">the </w:t>
      </w:r>
      <w:r w:rsidRPr="00435FC2">
        <w:t>regional population size obtained from the United Nations Population Division for 2012</w:t>
      </w:r>
      <w:r>
        <w:fldChar w:fldCharType="begin"/>
      </w:r>
      <w:r w:rsidR="00B00EC5">
        <w:instrText xml:space="preserve"> ADDIN EN.CITE &lt;EndNote&gt;&lt;Cite&gt;&lt;RecNum&gt;75&lt;/RecNum&gt;&lt;DisplayText&gt;[7]&lt;/DisplayText&gt;&lt;record&gt;&lt;rec-number&gt;75&lt;/rec-number&gt;&lt;foreign-keys&gt;&lt;key app="EN" db-id="20wzaadsya5vxreertmpvrzmvxza55faedpw" timestamp="1399979838"&gt;75&lt;/key&gt;&lt;/foreign-keys&gt;&lt;ref-type name="Online Database"&gt;45&lt;/ref-type&gt;&lt;contributors&gt;&lt;/contributors&gt;&lt;titles&gt;&lt;title&gt;World Population Prospects: The 2012 Revision&lt;/title&gt;&lt;/titles&gt;&lt;edition&gt;2013&lt;/edition&gt;&lt;dates&gt;&lt;/dates&gt;&lt;pub-location&gt;New York, 2013&lt;/pub-location&gt;&lt;publisher&gt;United Nations, Department of Economic and Social Affairs, Population Division&lt;/publisher&gt;&lt;urls&gt;&lt;/urls&gt;&lt;/record&gt;&lt;/Cite&gt;&lt;/EndNote&gt;</w:instrText>
      </w:r>
      <w:r>
        <w:fldChar w:fldCharType="separate"/>
      </w:r>
      <w:r w:rsidR="00B00EC5">
        <w:rPr>
          <w:noProof/>
        </w:rPr>
        <w:t>[</w:t>
      </w:r>
      <w:hyperlink w:anchor="_ENREF_7" w:tooltip=",  #75" w:history="1">
        <w:r w:rsidR="00B00EC5">
          <w:rPr>
            <w:noProof/>
          </w:rPr>
          <w:t>7</w:t>
        </w:r>
      </w:hyperlink>
      <w:r w:rsidR="00B00EC5">
        <w:rPr>
          <w:noProof/>
        </w:rPr>
        <w:t>]</w:t>
      </w:r>
      <w:r>
        <w:fldChar w:fldCharType="end"/>
      </w:r>
      <w:r w:rsidRPr="00435FC2">
        <w:t xml:space="preserve"> to </w:t>
      </w:r>
      <w:r>
        <w:t>estimate</w:t>
      </w:r>
      <w:r w:rsidRPr="00435FC2">
        <w:t xml:space="preserve"> the number</w:t>
      </w:r>
      <w:r>
        <w:t>s</w:t>
      </w:r>
      <w:r w:rsidRPr="00435FC2">
        <w:t xml:space="preserve"> of people with prevalent </w:t>
      </w:r>
      <w:r>
        <w:t>HSV-1</w:t>
      </w:r>
      <w:r w:rsidRPr="00435FC2">
        <w:t xml:space="preserve"> infection by region in </w:t>
      </w:r>
      <w:r>
        <w:t>2012</w:t>
      </w:r>
      <w:r w:rsidRPr="00435FC2">
        <w:t xml:space="preserve">. The numbers of people with incident </w:t>
      </w:r>
      <w:r>
        <w:t>HSV-1</w:t>
      </w:r>
      <w:r w:rsidRPr="00435FC2">
        <w:t xml:space="preserve"> infection by region in </w:t>
      </w:r>
      <w:r>
        <w:t>2012</w:t>
      </w:r>
      <w:r w:rsidRPr="00435FC2">
        <w:t xml:space="preserve"> were obtained by applying the model incidence to the population sizes</w:t>
      </w:r>
      <w:r>
        <w:t xml:space="preserve"> remaining susceptible</w:t>
      </w:r>
      <w:r w:rsidRPr="00435FC2">
        <w:t xml:space="preserve">. Specifically, the numbers of new cases of </w:t>
      </w:r>
      <w:r>
        <w:t>HSV-1</w:t>
      </w:r>
      <w:r w:rsidRPr="00435FC2">
        <w:t xml:space="preserve"> infection at each single year of age, </w:t>
      </w:r>
      <w:proofErr w:type="gramStart"/>
      <w:r w:rsidRPr="00435FC2">
        <w:rPr>
          <w:i/>
          <w:iCs/>
        </w:rPr>
        <w:t>I</w:t>
      </w:r>
      <w:r w:rsidRPr="00435FC2">
        <w:t>(</w:t>
      </w:r>
      <w:proofErr w:type="gramEnd"/>
      <w:r w:rsidRPr="00435FC2">
        <w:rPr>
          <w:i/>
          <w:iCs/>
        </w:rPr>
        <w:t>a</w:t>
      </w:r>
      <w:r w:rsidRPr="00435FC2">
        <w:t>), were calculated as:</w:t>
      </w:r>
    </w:p>
    <w:p w14:paraId="100BC470" w14:textId="77777777" w:rsidR="0021575B" w:rsidRPr="00435FC2" w:rsidRDefault="0021575B" w:rsidP="00FA6C3E">
      <w:pPr>
        <w:spacing w:line="480" w:lineRule="auto"/>
        <w:jc w:val="both"/>
      </w:pPr>
      <w:proofErr w:type="gramStart"/>
      <w:r w:rsidRPr="00435FC2">
        <w:rPr>
          <w:i/>
          <w:iCs/>
        </w:rPr>
        <w:t>I</w:t>
      </w:r>
      <w:r w:rsidRPr="00435FC2">
        <w:t>(</w:t>
      </w:r>
      <w:proofErr w:type="gramEnd"/>
      <w:r w:rsidRPr="00435FC2">
        <w:rPr>
          <w:i/>
          <w:iCs/>
        </w:rPr>
        <w:t xml:space="preserve">a) </w:t>
      </w:r>
      <w:r w:rsidRPr="00435FC2">
        <w:t>= (</w:t>
      </w:r>
      <w:r w:rsidRPr="00435FC2">
        <w:rPr>
          <w:i/>
          <w:iCs/>
        </w:rPr>
        <w:t>k</w:t>
      </w:r>
      <w:r>
        <w:rPr>
          <w:i/>
          <w:iCs/>
        </w:rPr>
        <w:t xml:space="preserve"> </w:t>
      </w:r>
      <w:r w:rsidRPr="00435FC2">
        <w:t>-</w:t>
      </w:r>
      <w:r>
        <w:t xml:space="preserve"> </w:t>
      </w:r>
      <w:r w:rsidRPr="00435FC2">
        <w:rPr>
          <w:i/>
          <w:iCs/>
        </w:rPr>
        <w:t>F</w:t>
      </w:r>
      <w:r w:rsidRPr="00435FC2">
        <w:t>(</w:t>
      </w:r>
      <w:r w:rsidRPr="00435FC2">
        <w:rPr>
          <w:i/>
          <w:iCs/>
        </w:rPr>
        <w:t>a</w:t>
      </w:r>
      <w:r w:rsidRPr="00435FC2">
        <w:t>))</w:t>
      </w:r>
      <w:r>
        <w:t xml:space="preserve"> </w:t>
      </w:r>
      <w:r w:rsidRPr="00435FC2">
        <w:t>*</w:t>
      </w:r>
      <w:r>
        <w:t xml:space="preserve"> </w:t>
      </w:r>
      <w:r w:rsidRPr="00435FC2">
        <w:t>λ</w:t>
      </w:r>
      <w:r>
        <w:t xml:space="preserve"> </w:t>
      </w:r>
      <w:r w:rsidRPr="00435FC2">
        <w:t>*</w:t>
      </w:r>
      <w:r>
        <w:t xml:space="preserve"> </w:t>
      </w:r>
      <w:r w:rsidRPr="00435FC2">
        <w:rPr>
          <w:i/>
          <w:iCs/>
        </w:rPr>
        <w:t>N</w:t>
      </w:r>
      <w:r w:rsidRPr="00435FC2">
        <w:t>(</w:t>
      </w:r>
      <w:r w:rsidRPr="00435FC2">
        <w:rPr>
          <w:i/>
          <w:iCs/>
        </w:rPr>
        <w:t>a</w:t>
      </w:r>
      <w:r w:rsidRPr="00435FC2">
        <w:t>)</w:t>
      </w:r>
    </w:p>
    <w:p w14:paraId="2E7BB5DC" w14:textId="77777777" w:rsidR="0021575B" w:rsidRDefault="0021575B" w:rsidP="00FA6C3E">
      <w:pPr>
        <w:spacing w:line="480" w:lineRule="auto"/>
        <w:jc w:val="both"/>
      </w:pPr>
      <w:proofErr w:type="gramStart"/>
      <w:r w:rsidRPr="00435FC2">
        <w:t>where</w:t>
      </w:r>
      <w:proofErr w:type="gramEnd"/>
      <w:r w:rsidRPr="00435FC2">
        <w:t xml:space="preserve"> </w:t>
      </w:r>
      <w:r w:rsidRPr="00435FC2">
        <w:rPr>
          <w:i/>
          <w:iCs/>
        </w:rPr>
        <w:t>N</w:t>
      </w:r>
      <w:r w:rsidRPr="00435FC2">
        <w:t>(</w:t>
      </w:r>
      <w:r w:rsidRPr="00435FC2">
        <w:rPr>
          <w:i/>
          <w:iCs/>
        </w:rPr>
        <w:t>a</w:t>
      </w:r>
      <w:r w:rsidRPr="00435FC2">
        <w:t xml:space="preserve">) is the total number of individuals </w:t>
      </w:r>
      <w:r>
        <w:t xml:space="preserve">(i.e., regional population size) </w:t>
      </w:r>
      <w:r w:rsidRPr="00435FC2">
        <w:t xml:space="preserve">at age </w:t>
      </w:r>
      <w:r w:rsidRPr="00435FC2">
        <w:rPr>
          <w:i/>
          <w:iCs/>
        </w:rPr>
        <w:t>a</w:t>
      </w:r>
      <w:r w:rsidRPr="00435FC2">
        <w:t xml:space="preserve">. Estimates were then summed across ages </w:t>
      </w:r>
      <w:r>
        <w:t>for</w:t>
      </w:r>
      <w:r w:rsidRPr="00435FC2">
        <w:t xml:space="preserve"> each 5-year age category.</w:t>
      </w:r>
      <w:r>
        <w:t xml:space="preserve"> Model incidence was used rather than </w:t>
      </w:r>
      <w:r>
        <w:lastRenderedPageBreak/>
        <w:t xml:space="preserve">reported incidence due to a lack of reported incidence values across all ages and regions. Also, an advantage of the pooling and smoothing process is that calibrated incidence is less variable. Global estimates were obtained by summing estimates over all 6 regions. </w:t>
      </w:r>
    </w:p>
    <w:p w14:paraId="5AFC8319" w14:textId="77777777" w:rsidR="0021575B" w:rsidRDefault="0021575B" w:rsidP="00FA6C3E">
      <w:pPr>
        <w:pStyle w:val="Style1"/>
        <w:spacing w:line="480" w:lineRule="auto"/>
        <w:jc w:val="both"/>
        <w:rPr>
          <w:b w:val="0"/>
          <w:sz w:val="22"/>
          <w:szCs w:val="22"/>
        </w:rPr>
      </w:pPr>
      <w:r>
        <w:rPr>
          <w:b w:val="0"/>
          <w:sz w:val="22"/>
          <w:szCs w:val="22"/>
        </w:rPr>
        <w:t xml:space="preserve">The estimated prevalence of genital HSV-1 infection by single year of age </w:t>
      </w:r>
      <w:proofErr w:type="spellStart"/>
      <w:proofErr w:type="gramStart"/>
      <w:r w:rsidRPr="007C79CB">
        <w:rPr>
          <w:b w:val="0"/>
          <w:i/>
          <w:sz w:val="22"/>
          <w:szCs w:val="22"/>
        </w:rPr>
        <w:t>a</w:t>
      </w:r>
      <w:proofErr w:type="spellEnd"/>
      <w:r>
        <w:rPr>
          <w:b w:val="0"/>
          <w:sz w:val="22"/>
          <w:szCs w:val="22"/>
        </w:rPr>
        <w:t xml:space="preserve"> among</w:t>
      </w:r>
      <w:proofErr w:type="gramEnd"/>
      <w:r>
        <w:rPr>
          <w:b w:val="0"/>
          <w:sz w:val="22"/>
          <w:szCs w:val="22"/>
        </w:rPr>
        <w:t xml:space="preserve"> individuals aged between 15 and 49 years was calculated from:</w:t>
      </w:r>
    </w:p>
    <w:p w14:paraId="243E4F8B" w14:textId="77777777" w:rsidR="0021575B" w:rsidRDefault="0021575B" w:rsidP="00FA6C3E">
      <w:pPr>
        <w:pStyle w:val="Style1"/>
        <w:spacing w:line="480" w:lineRule="auto"/>
        <w:jc w:val="both"/>
        <w:rPr>
          <w:b w:val="0"/>
          <w:sz w:val="22"/>
          <w:szCs w:val="22"/>
        </w:rPr>
      </w:pPr>
      <w:proofErr w:type="spellStart"/>
      <w:proofErr w:type="gramStart"/>
      <w:r w:rsidRPr="0090661F">
        <w:rPr>
          <w:b w:val="0"/>
          <w:i/>
          <w:sz w:val="22"/>
          <w:szCs w:val="22"/>
        </w:rPr>
        <w:t>F</w:t>
      </w:r>
      <w:r w:rsidRPr="0090661F">
        <w:rPr>
          <w:b w:val="0"/>
          <w:i/>
          <w:sz w:val="22"/>
          <w:szCs w:val="22"/>
          <w:vertAlign w:val="subscript"/>
        </w:rPr>
        <w:t>g</w:t>
      </w:r>
      <w:proofErr w:type="spellEnd"/>
      <w:r w:rsidRPr="0090661F">
        <w:rPr>
          <w:b w:val="0"/>
          <w:i/>
          <w:sz w:val="22"/>
          <w:szCs w:val="22"/>
        </w:rPr>
        <w:t>(</w:t>
      </w:r>
      <w:proofErr w:type="gramEnd"/>
      <w:r w:rsidRPr="0090661F">
        <w:rPr>
          <w:b w:val="0"/>
          <w:i/>
          <w:sz w:val="22"/>
          <w:szCs w:val="22"/>
        </w:rPr>
        <w:t>a)</w:t>
      </w:r>
      <w:r>
        <w:rPr>
          <w:b w:val="0"/>
          <w:sz w:val="22"/>
          <w:szCs w:val="22"/>
        </w:rPr>
        <w:t xml:space="preserve"> = (</w:t>
      </w:r>
      <w:r w:rsidRPr="0090661F">
        <w:rPr>
          <w:b w:val="0"/>
          <w:i/>
          <w:sz w:val="22"/>
          <w:szCs w:val="22"/>
        </w:rPr>
        <w:t>F(a)</w:t>
      </w:r>
      <w:r>
        <w:rPr>
          <w:b w:val="0"/>
          <w:sz w:val="22"/>
          <w:szCs w:val="22"/>
        </w:rPr>
        <w:t>-</w:t>
      </w:r>
      <w:r w:rsidRPr="0090661F">
        <w:rPr>
          <w:b w:val="0"/>
          <w:i/>
          <w:sz w:val="22"/>
          <w:szCs w:val="22"/>
        </w:rPr>
        <w:t>F(15)</w:t>
      </w:r>
      <w:r>
        <w:rPr>
          <w:b w:val="0"/>
          <w:sz w:val="22"/>
          <w:szCs w:val="22"/>
        </w:rPr>
        <w:t xml:space="preserve">) * </w:t>
      </w:r>
      <w:proofErr w:type="spellStart"/>
      <w:r w:rsidRPr="00BF09F6">
        <w:rPr>
          <w:b w:val="0"/>
          <w:i/>
          <w:sz w:val="22"/>
          <w:szCs w:val="22"/>
        </w:rPr>
        <w:t>p</w:t>
      </w:r>
      <w:r>
        <w:rPr>
          <w:b w:val="0"/>
          <w:sz w:val="22"/>
          <w:szCs w:val="22"/>
          <w:vertAlign w:val="subscript"/>
        </w:rPr>
        <w:t>g</w:t>
      </w:r>
      <w:proofErr w:type="spellEnd"/>
    </w:p>
    <w:p w14:paraId="057E4BD6" w14:textId="00C86150" w:rsidR="0021575B" w:rsidRDefault="0021575B" w:rsidP="00FA6C3E">
      <w:pPr>
        <w:pStyle w:val="Style1"/>
        <w:spacing w:line="480" w:lineRule="auto"/>
        <w:jc w:val="both"/>
        <w:rPr>
          <w:b w:val="0"/>
          <w:sz w:val="22"/>
          <w:szCs w:val="22"/>
        </w:rPr>
      </w:pPr>
      <w:proofErr w:type="gramStart"/>
      <w:r>
        <w:rPr>
          <w:b w:val="0"/>
          <w:sz w:val="22"/>
          <w:szCs w:val="22"/>
        </w:rPr>
        <w:t>where</w:t>
      </w:r>
      <w:proofErr w:type="gramEnd"/>
      <w:r>
        <w:rPr>
          <w:b w:val="0"/>
          <w:sz w:val="22"/>
          <w:szCs w:val="22"/>
        </w:rPr>
        <w:t xml:space="preserve"> </w:t>
      </w:r>
      <w:proofErr w:type="spellStart"/>
      <w:r w:rsidRPr="0090661F">
        <w:rPr>
          <w:b w:val="0"/>
          <w:i/>
          <w:sz w:val="22"/>
          <w:szCs w:val="22"/>
        </w:rPr>
        <w:t>F</w:t>
      </w:r>
      <w:r w:rsidRPr="0090661F">
        <w:rPr>
          <w:b w:val="0"/>
          <w:i/>
          <w:sz w:val="22"/>
          <w:szCs w:val="22"/>
          <w:vertAlign w:val="subscript"/>
        </w:rPr>
        <w:t>g</w:t>
      </w:r>
      <w:proofErr w:type="spellEnd"/>
      <w:r w:rsidRPr="0090661F">
        <w:rPr>
          <w:b w:val="0"/>
          <w:i/>
          <w:sz w:val="22"/>
          <w:szCs w:val="22"/>
        </w:rPr>
        <w:t>(a)</w:t>
      </w:r>
      <w:r>
        <w:rPr>
          <w:b w:val="0"/>
          <w:sz w:val="22"/>
          <w:szCs w:val="22"/>
        </w:rPr>
        <w:t xml:space="preserve"> is the </w:t>
      </w:r>
      <w:r w:rsidRPr="0090661F">
        <w:rPr>
          <w:b w:val="0"/>
          <w:sz w:val="22"/>
          <w:szCs w:val="22"/>
        </w:rPr>
        <w:t xml:space="preserve">proportion of </w:t>
      </w:r>
      <w:r w:rsidRPr="00B07442">
        <w:rPr>
          <w:b w:val="0"/>
          <w:sz w:val="22"/>
          <w:szCs w:val="22"/>
        </w:rPr>
        <w:t xml:space="preserve">individuals with </w:t>
      </w:r>
      <w:r>
        <w:rPr>
          <w:b w:val="0"/>
          <w:sz w:val="22"/>
          <w:szCs w:val="22"/>
        </w:rPr>
        <w:t xml:space="preserve">prevalent genital </w:t>
      </w:r>
      <w:r w:rsidRPr="00B07442">
        <w:rPr>
          <w:b w:val="0"/>
          <w:sz w:val="22"/>
          <w:szCs w:val="22"/>
        </w:rPr>
        <w:t xml:space="preserve">HSV-1 </w:t>
      </w:r>
      <w:r>
        <w:rPr>
          <w:b w:val="0"/>
          <w:sz w:val="22"/>
          <w:szCs w:val="22"/>
        </w:rPr>
        <w:t>infection</w:t>
      </w:r>
      <w:r w:rsidRPr="00B07442">
        <w:rPr>
          <w:b w:val="0"/>
          <w:sz w:val="22"/>
          <w:szCs w:val="22"/>
        </w:rPr>
        <w:t xml:space="preserve"> at age </w:t>
      </w:r>
      <w:r w:rsidRPr="00B07442">
        <w:rPr>
          <w:b w:val="0"/>
          <w:i/>
          <w:sz w:val="22"/>
          <w:szCs w:val="22"/>
        </w:rPr>
        <w:t>a</w:t>
      </w:r>
      <w:r w:rsidRPr="00B07442">
        <w:rPr>
          <w:b w:val="0"/>
          <w:sz w:val="22"/>
          <w:szCs w:val="22"/>
        </w:rPr>
        <w:t xml:space="preserve"> and </w:t>
      </w:r>
      <w:proofErr w:type="spellStart"/>
      <w:r w:rsidRPr="00B07442">
        <w:rPr>
          <w:b w:val="0"/>
          <w:i/>
          <w:sz w:val="22"/>
          <w:szCs w:val="22"/>
        </w:rPr>
        <w:t>p</w:t>
      </w:r>
      <w:r w:rsidRPr="00B07442">
        <w:rPr>
          <w:b w:val="0"/>
          <w:sz w:val="22"/>
          <w:szCs w:val="22"/>
          <w:vertAlign w:val="subscript"/>
        </w:rPr>
        <w:t>g</w:t>
      </w:r>
      <w:proofErr w:type="spellEnd"/>
      <w:r w:rsidRPr="00B07442">
        <w:rPr>
          <w:b w:val="0"/>
          <w:sz w:val="22"/>
          <w:szCs w:val="22"/>
        </w:rPr>
        <w:t xml:space="preserve"> is the proportion of new HSV-1 infections in adulthood that are genital. The value of </w:t>
      </w:r>
      <w:proofErr w:type="spellStart"/>
      <w:r w:rsidRPr="00B07442">
        <w:rPr>
          <w:b w:val="0"/>
          <w:i/>
          <w:sz w:val="22"/>
          <w:szCs w:val="22"/>
        </w:rPr>
        <w:t>p</w:t>
      </w:r>
      <w:r w:rsidRPr="00B07442">
        <w:rPr>
          <w:b w:val="0"/>
          <w:sz w:val="22"/>
          <w:szCs w:val="22"/>
          <w:vertAlign w:val="subscript"/>
        </w:rPr>
        <w:t>g</w:t>
      </w:r>
      <w:proofErr w:type="spellEnd"/>
      <w:r w:rsidRPr="00B07442">
        <w:rPr>
          <w:b w:val="0"/>
          <w:sz w:val="22"/>
          <w:szCs w:val="22"/>
        </w:rPr>
        <w:t xml:space="preserve"> </w:t>
      </w:r>
      <w:r>
        <w:rPr>
          <w:b w:val="0"/>
          <w:sz w:val="22"/>
          <w:szCs w:val="22"/>
        </w:rPr>
        <w:t>is uncertain though some estimates are available</w:t>
      </w:r>
      <w:r w:rsidRPr="00B07442">
        <w:rPr>
          <w:b w:val="0"/>
          <w:sz w:val="22"/>
          <w:szCs w:val="22"/>
        </w:rPr>
        <w:t xml:space="preserve">. In a prospective study in the USA of HSV-2 seronegative individuals </w:t>
      </w:r>
      <w:r>
        <w:rPr>
          <w:b w:val="0"/>
          <w:sz w:val="22"/>
          <w:szCs w:val="22"/>
        </w:rPr>
        <w:t xml:space="preserve">aged 17-79 years </w:t>
      </w:r>
      <w:r w:rsidRPr="00B07442">
        <w:rPr>
          <w:b w:val="0"/>
          <w:sz w:val="22"/>
          <w:szCs w:val="22"/>
        </w:rPr>
        <w:t>who were “high-risk” or in an HS</w:t>
      </w:r>
      <w:r>
        <w:rPr>
          <w:b w:val="0"/>
          <w:sz w:val="22"/>
          <w:szCs w:val="22"/>
        </w:rPr>
        <w:t xml:space="preserve">V-2 </w:t>
      </w:r>
      <w:proofErr w:type="spellStart"/>
      <w:r>
        <w:rPr>
          <w:b w:val="0"/>
          <w:sz w:val="22"/>
          <w:szCs w:val="22"/>
        </w:rPr>
        <w:t>serodiscordant</w:t>
      </w:r>
      <w:proofErr w:type="spellEnd"/>
      <w:r>
        <w:rPr>
          <w:b w:val="0"/>
          <w:sz w:val="22"/>
          <w:szCs w:val="22"/>
        </w:rPr>
        <w:t xml:space="preserve"> relationship</w:t>
      </w:r>
      <w:r w:rsidRPr="00B07442">
        <w:rPr>
          <w:b w:val="0"/>
          <w:sz w:val="22"/>
          <w:szCs w:val="22"/>
        </w:rPr>
        <w:t xml:space="preserve">, 6 out of 12 symptomatic incident HSV-1 infections </w:t>
      </w:r>
      <w:r>
        <w:rPr>
          <w:b w:val="0"/>
          <w:sz w:val="22"/>
          <w:szCs w:val="22"/>
        </w:rPr>
        <w:t xml:space="preserve">(out of a total of 19 incident HSV-1 infections) </w:t>
      </w:r>
      <w:r w:rsidRPr="00B07442">
        <w:rPr>
          <w:b w:val="0"/>
          <w:sz w:val="22"/>
          <w:szCs w:val="22"/>
        </w:rPr>
        <w:t xml:space="preserve">were associated with genital lesions (50%); the remaining </w:t>
      </w:r>
      <w:r>
        <w:rPr>
          <w:b w:val="0"/>
          <w:sz w:val="22"/>
          <w:szCs w:val="22"/>
        </w:rPr>
        <w:t xml:space="preserve">symptomatic individuals </w:t>
      </w:r>
      <w:r w:rsidRPr="00B07442">
        <w:rPr>
          <w:b w:val="0"/>
          <w:sz w:val="22"/>
          <w:szCs w:val="22"/>
        </w:rPr>
        <w:t xml:space="preserve">had either </w:t>
      </w:r>
      <w:proofErr w:type="spellStart"/>
      <w:r w:rsidRPr="00B07442">
        <w:rPr>
          <w:b w:val="0"/>
          <w:sz w:val="22"/>
          <w:szCs w:val="22"/>
        </w:rPr>
        <w:t>orolabial</w:t>
      </w:r>
      <w:proofErr w:type="spellEnd"/>
      <w:r w:rsidRPr="00B07442">
        <w:rPr>
          <w:b w:val="0"/>
          <w:sz w:val="22"/>
          <w:szCs w:val="22"/>
        </w:rPr>
        <w:t xml:space="preserve"> lesions or pharyngitis</w:t>
      </w:r>
      <w:r w:rsidRPr="00B07442">
        <w:rPr>
          <w:b w:val="0"/>
          <w:sz w:val="22"/>
          <w:szCs w:val="22"/>
        </w:rPr>
        <w:fldChar w:fldCharType="begin"/>
      </w:r>
      <w:r w:rsidR="00B00EC5">
        <w:rPr>
          <w:b w:val="0"/>
          <w:sz w:val="22"/>
          <w:szCs w:val="22"/>
        </w:rPr>
        <w:instrText xml:space="preserve"> ADDIN EN.CITE &lt;EndNote&gt;&lt;Cite&gt;&lt;Author&gt;Langenberg&lt;/Author&gt;&lt;Year&gt;1999&lt;/Year&gt;&lt;RecNum&gt;105&lt;/RecNum&gt;&lt;DisplayText&gt;[8]&lt;/DisplayText&gt;&lt;record&gt;&lt;rec-number&gt;105&lt;/rec-number&gt;&lt;foreign-keys&gt;&lt;key app="EN" db-id="20wzaadsya5vxreertmpvrzmvxza55faedpw" timestamp="1412244611"&gt;105&lt;/key&gt;&lt;/foreign-keys&gt;&lt;ref-type name="Journal Article"&gt;17&lt;/ref-type&gt;&lt;contributors&gt;&lt;authors&gt;&lt;author&gt;Langenberg, A. G.&lt;/author&gt;&lt;author&gt;Corey, L.&lt;/author&gt;&lt;author&gt;Ashley, R. L.&lt;/author&gt;&lt;author&gt;Leong, W. P. &lt;/author&gt;&lt;author&gt;Straus, S. E.&lt;/author&gt;&lt;/authors&gt;&lt;/contributors&gt;&lt;titles&gt;&lt;title&gt;A prospective study of new infections with herpes simplex virus type 1 and type 2. Chiron HSV Vaccine Study Group.&lt;/title&gt;&lt;secondary-title&gt;N Engl J Med&lt;/secondary-title&gt;&lt;/titles&gt;&lt;periodical&gt;&lt;full-title&gt;N Engl J Med&lt;/full-title&gt;&lt;abbr-1&gt;The New England journal of medicine&lt;/abbr-1&gt;&lt;/periodical&gt;&lt;pages&gt;1432-8&lt;/pages&gt;&lt;volume&gt;341&lt;/volume&gt;&lt;number&gt;19&lt;/number&gt;&lt;dates&gt;&lt;year&gt;1999&lt;/year&gt;&lt;/dates&gt;&lt;urls&gt;&lt;/urls&gt;&lt;/record&gt;&lt;/Cite&gt;&lt;/EndNote&gt;</w:instrText>
      </w:r>
      <w:r w:rsidRPr="00B07442">
        <w:rPr>
          <w:b w:val="0"/>
          <w:sz w:val="22"/>
          <w:szCs w:val="22"/>
        </w:rPr>
        <w:fldChar w:fldCharType="separate"/>
      </w:r>
      <w:r w:rsidR="00B00EC5">
        <w:rPr>
          <w:b w:val="0"/>
          <w:noProof/>
          <w:sz w:val="22"/>
          <w:szCs w:val="22"/>
        </w:rPr>
        <w:t>[</w:t>
      </w:r>
      <w:hyperlink w:anchor="_ENREF_8" w:tooltip="Langenberg, 1999 #105" w:history="1">
        <w:r w:rsidR="00B00EC5">
          <w:rPr>
            <w:b w:val="0"/>
            <w:noProof/>
            <w:sz w:val="22"/>
            <w:szCs w:val="22"/>
          </w:rPr>
          <w:t>8</w:t>
        </w:r>
      </w:hyperlink>
      <w:r w:rsidR="00B00EC5">
        <w:rPr>
          <w:b w:val="0"/>
          <w:noProof/>
          <w:sz w:val="22"/>
          <w:szCs w:val="22"/>
        </w:rPr>
        <w:t>]</w:t>
      </w:r>
      <w:r w:rsidRPr="00B07442">
        <w:rPr>
          <w:b w:val="0"/>
          <w:sz w:val="22"/>
          <w:szCs w:val="22"/>
        </w:rPr>
        <w:fldChar w:fldCharType="end"/>
      </w:r>
      <w:r w:rsidRPr="00B07442">
        <w:rPr>
          <w:b w:val="0"/>
          <w:sz w:val="22"/>
          <w:szCs w:val="22"/>
        </w:rPr>
        <w:t xml:space="preserve">. In HSV seronegative women aged 18-30 years who were in the control arm of the HERPEVAC Trial for Women in the USA, 28 out of 33 symptomatic incident HSV-1 infections </w:t>
      </w:r>
      <w:r>
        <w:rPr>
          <w:b w:val="0"/>
          <w:sz w:val="22"/>
          <w:szCs w:val="22"/>
        </w:rPr>
        <w:t xml:space="preserve">(out of a total of 127 incident HSV-1 infections) </w:t>
      </w:r>
      <w:r w:rsidRPr="00B07442">
        <w:rPr>
          <w:b w:val="0"/>
          <w:sz w:val="22"/>
          <w:szCs w:val="22"/>
        </w:rPr>
        <w:t>were associated with either genital disease or both oral and genital disease (85%)</w:t>
      </w:r>
      <w:r w:rsidRPr="00B07442">
        <w:rPr>
          <w:b w:val="0"/>
          <w:sz w:val="22"/>
          <w:szCs w:val="22"/>
        </w:rPr>
        <w:fldChar w:fldCharType="begin"/>
      </w:r>
      <w:r w:rsidR="00B00EC5">
        <w:rPr>
          <w:b w:val="0"/>
          <w:sz w:val="22"/>
          <w:szCs w:val="22"/>
        </w:rPr>
        <w:instrText xml:space="preserve"> ADDIN EN.CITE &lt;EndNote&gt;&lt;Cite&gt;&lt;Author&gt;Bernstein&lt;/Author&gt;&lt;Year&gt;2013&lt;/Year&gt;&lt;RecNum&gt;120&lt;/RecNum&gt;&lt;DisplayText&gt;[9]&lt;/DisplayText&gt;&lt;record&gt;&lt;rec-number&gt;120&lt;/rec-number&gt;&lt;foreign-keys&gt;&lt;key app="EN" db-id="20wzaadsya5vxreertmpvrzmvxza55faedpw" timestamp="1415282789"&gt;120&lt;/key&gt;&lt;/foreign-keys&gt;&lt;ref-type name="Journal Article"&gt;17&lt;/ref-type&gt;&lt;contributors&gt;&lt;authors&gt;&lt;author&gt;Bernstein, D. I.&lt;/author&gt;&lt;author&gt;Bellamy, A. R.&lt;/author&gt;&lt;author&gt;Hook, E. W. 3rd&lt;/author&gt;&lt;author&gt;Levin, M. J.&lt;/author&gt;&lt;author&gt;Wald, A.&lt;/author&gt;&lt;author&gt;Ewell, M. G.&lt;/author&gt;&lt;author&gt;Wolff, P. A.&lt;/author&gt;&lt;author&gt;Deal, C. D.&lt;/author&gt;&lt;author&gt;Heineman, T. C.&lt;/author&gt;&lt;author&gt;Dubin, G.&lt;/author&gt;&lt;author&gt;Belshe, R. B.&lt;/author&gt;&lt;/authors&gt;&lt;/contributors&gt;&lt;titles&gt;&lt;title&gt;Epidemiology, clinical presentation, and antibody response to primary infection with herpes simplex virus type 1 and type 2 in young women.&lt;/title&gt;&lt;secondary-title&gt;Clin Infect Dis&lt;/secondary-title&gt;&lt;/titles&gt;&lt;periodical&gt;&lt;full-title&gt;Clin Infect Dis&lt;/full-title&gt;&lt;abbr-1&gt;Clinical infectious diseases : an official publication of the Infectious Diseases Society of America&lt;/abbr-1&gt;&lt;/periodical&gt;&lt;pages&gt;344-51&lt;/pages&gt;&lt;volume&gt;56&lt;/volume&gt;&lt;number&gt;3&lt;/number&gt;&lt;dates&gt;&lt;year&gt;2013&lt;/year&gt;&lt;/dates&gt;&lt;urls&gt;&lt;/urls&gt;&lt;/record&gt;&lt;/Cite&gt;&lt;/EndNote&gt;</w:instrText>
      </w:r>
      <w:r w:rsidRPr="00B07442">
        <w:rPr>
          <w:b w:val="0"/>
          <w:sz w:val="22"/>
          <w:szCs w:val="22"/>
        </w:rPr>
        <w:fldChar w:fldCharType="separate"/>
      </w:r>
      <w:r w:rsidR="00B00EC5">
        <w:rPr>
          <w:b w:val="0"/>
          <w:noProof/>
          <w:sz w:val="22"/>
          <w:szCs w:val="22"/>
        </w:rPr>
        <w:t>[</w:t>
      </w:r>
      <w:hyperlink w:anchor="_ENREF_9" w:tooltip="Bernstein, 2013 #120" w:history="1">
        <w:r w:rsidR="00B00EC5">
          <w:rPr>
            <w:b w:val="0"/>
            <w:noProof/>
            <w:sz w:val="22"/>
            <w:szCs w:val="22"/>
          </w:rPr>
          <w:t>9</w:t>
        </w:r>
      </w:hyperlink>
      <w:r w:rsidR="00B00EC5">
        <w:rPr>
          <w:b w:val="0"/>
          <w:noProof/>
          <w:sz w:val="22"/>
          <w:szCs w:val="22"/>
        </w:rPr>
        <w:t>]</w:t>
      </w:r>
      <w:r w:rsidRPr="00B07442">
        <w:rPr>
          <w:b w:val="0"/>
          <w:sz w:val="22"/>
          <w:szCs w:val="22"/>
        </w:rPr>
        <w:fldChar w:fldCharType="end"/>
      </w:r>
      <w:r w:rsidRPr="00B07442">
        <w:rPr>
          <w:b w:val="0"/>
          <w:sz w:val="22"/>
          <w:szCs w:val="22"/>
        </w:rPr>
        <w:t xml:space="preserve">. </w:t>
      </w:r>
      <w:r w:rsidR="00655EE9">
        <w:rPr>
          <w:b w:val="0"/>
          <w:sz w:val="22"/>
          <w:szCs w:val="22"/>
        </w:rPr>
        <w:t xml:space="preserve">Note that since some women reported both oral and genital disease at the same time, some women were likely infected with both oral and genital HSV-1 infection concurrently. </w:t>
      </w:r>
      <w:r>
        <w:rPr>
          <w:b w:val="0"/>
          <w:sz w:val="22"/>
          <w:szCs w:val="22"/>
        </w:rPr>
        <w:t>Th</w:t>
      </w:r>
      <w:r w:rsidR="00655EE9">
        <w:rPr>
          <w:b w:val="0"/>
          <w:sz w:val="22"/>
          <w:szCs w:val="22"/>
        </w:rPr>
        <w:t>e</w:t>
      </w:r>
      <w:r>
        <w:rPr>
          <w:b w:val="0"/>
          <w:sz w:val="22"/>
          <w:szCs w:val="22"/>
        </w:rPr>
        <w:t xml:space="preserve"> proportion </w:t>
      </w:r>
      <w:r w:rsidR="00D54E34">
        <w:rPr>
          <w:b w:val="0"/>
          <w:sz w:val="22"/>
          <w:szCs w:val="22"/>
        </w:rPr>
        <w:t>may</w:t>
      </w:r>
      <w:r>
        <w:rPr>
          <w:b w:val="0"/>
          <w:sz w:val="22"/>
          <w:szCs w:val="22"/>
        </w:rPr>
        <w:t xml:space="preserve"> vary between regions and different population groups. In the absence of further data to inform this parameter we did all analyses for genital HSV-1 infection firstly assuming that 50% of incident HSV-1 infections are genital from age 15 years, and then repeating the analyses but assuming this proportion is 85%.</w:t>
      </w:r>
    </w:p>
    <w:p w14:paraId="592FF708" w14:textId="60788B4E" w:rsidR="0021575B" w:rsidRPr="00D34B42" w:rsidRDefault="0021575B" w:rsidP="00FA6C3E">
      <w:pPr>
        <w:pStyle w:val="Style1"/>
        <w:spacing w:line="480" w:lineRule="auto"/>
        <w:jc w:val="both"/>
        <w:rPr>
          <w:b w:val="0"/>
          <w:sz w:val="22"/>
          <w:szCs w:val="22"/>
        </w:rPr>
      </w:pPr>
      <w:r>
        <w:rPr>
          <w:b w:val="0"/>
          <w:sz w:val="22"/>
          <w:szCs w:val="22"/>
        </w:rPr>
        <w:t>Genital HSV-1 p</w:t>
      </w:r>
      <w:r w:rsidRPr="001A22C7">
        <w:rPr>
          <w:b w:val="0"/>
          <w:sz w:val="22"/>
          <w:szCs w:val="22"/>
        </w:rPr>
        <w:t>revalence</w:t>
      </w:r>
      <w:r>
        <w:rPr>
          <w:b w:val="0"/>
          <w:sz w:val="22"/>
          <w:szCs w:val="22"/>
        </w:rPr>
        <w:t xml:space="preserve"> estimates were then applied to population sizes and summed across 5-year age bands. Estimates of the total number of genital herpes infections (HSV-1 or HSV-2) were calculated by summing estimates for HSV-1 and HSV-2</w:t>
      </w:r>
      <w:r>
        <w:rPr>
          <w:b w:val="0"/>
          <w:sz w:val="22"/>
          <w:szCs w:val="22"/>
        </w:rPr>
        <w:fldChar w:fldCharType="begin"/>
      </w:r>
      <w:r w:rsidR="00B00EC5">
        <w:rPr>
          <w:b w:val="0"/>
          <w:sz w:val="22"/>
          <w:szCs w:val="22"/>
        </w:rPr>
        <w:instrText xml:space="preserve"> ADDIN EN.CITE &lt;EndNote&gt;&lt;Cite&gt;&lt;Author&gt;Looker&lt;/Author&gt;&lt;Year&gt;2015&lt;/Year&gt;&lt;RecNum&gt;153&lt;/RecNum&gt;&lt;DisplayText&gt;[10]&lt;/DisplayText&gt;&lt;record&gt;&lt;rec-number&gt;153&lt;/rec-number&gt;&lt;foreign-keys&gt;&lt;key app="EN" db-id="20wzaadsya5vxreertmpvrzmvxza55faedpw" timestamp="1420213545"&gt;153&lt;/key&gt;&lt;/foreign-keys&gt;&lt;ref-type name="Journal Article"&gt;17&lt;/ref-type&gt;&lt;contributors&gt;&lt;authors&gt;&lt;author&gt;Looker, K. J.&lt;/author&gt;&lt;author&gt;Magaret, A.&lt;/author&gt;&lt;author&gt;Turner, K. M. E.&lt;/author&gt;&lt;author&gt;Vickerman, P.&lt;/author&gt;&lt;author&gt;Gottlieb, S. L.&lt;/author&gt;&lt;author&gt;Newman, L. M.&lt;/author&gt;&lt;/authors&gt;&lt;/contributors&gt;&lt;titles&gt;&lt;title&gt;Global estimates of prevalent and incident herpes simplex virus type 2 infections in 2012&lt;/title&gt;&lt;secondary-title&gt;PLoS One&lt;/secondary-title&gt;&lt;/titles&gt;&lt;periodical&gt;&lt;full-title&gt;PLoS One&lt;/full-title&gt;&lt;abbr-1&gt;PloS one&lt;/abbr-1&gt;&lt;/periodical&gt;&lt;pages&gt;e114989&lt;/pages&gt;&lt;volume&gt;1&lt;/volume&gt;&lt;number&gt;10&lt;/number&gt;&lt;dates&gt;&lt;year&gt;2015&lt;/year&gt;&lt;/dates&gt;&lt;urls&gt;&lt;/urls&gt;&lt;/record&gt;&lt;/Cite&gt;&lt;/EndNote&gt;</w:instrText>
      </w:r>
      <w:r>
        <w:rPr>
          <w:b w:val="0"/>
          <w:sz w:val="22"/>
          <w:szCs w:val="22"/>
        </w:rPr>
        <w:fldChar w:fldCharType="separate"/>
      </w:r>
      <w:r w:rsidR="00B00EC5">
        <w:rPr>
          <w:b w:val="0"/>
          <w:noProof/>
          <w:sz w:val="22"/>
          <w:szCs w:val="22"/>
        </w:rPr>
        <w:t>[</w:t>
      </w:r>
      <w:hyperlink w:anchor="_ENREF_10" w:tooltip="Looker, 2015 #153" w:history="1">
        <w:r w:rsidR="00B00EC5">
          <w:rPr>
            <w:b w:val="0"/>
            <w:noProof/>
            <w:sz w:val="22"/>
            <w:szCs w:val="22"/>
          </w:rPr>
          <w:t>10</w:t>
        </w:r>
      </w:hyperlink>
      <w:r w:rsidR="00B00EC5">
        <w:rPr>
          <w:b w:val="0"/>
          <w:noProof/>
          <w:sz w:val="22"/>
          <w:szCs w:val="22"/>
        </w:rPr>
        <w:t>]</w:t>
      </w:r>
      <w:r>
        <w:rPr>
          <w:b w:val="0"/>
          <w:sz w:val="22"/>
          <w:szCs w:val="22"/>
        </w:rPr>
        <w:fldChar w:fldCharType="end"/>
      </w:r>
      <w:r>
        <w:rPr>
          <w:b w:val="0"/>
          <w:sz w:val="22"/>
          <w:szCs w:val="22"/>
        </w:rPr>
        <w:t>, and adjusting the estimates for co-</w:t>
      </w:r>
      <w:r>
        <w:rPr>
          <w:b w:val="0"/>
          <w:sz w:val="22"/>
          <w:szCs w:val="22"/>
        </w:rPr>
        <w:lastRenderedPageBreak/>
        <w:t xml:space="preserve">infection by  removing </w:t>
      </w:r>
      <w:r w:rsidRPr="009006EF">
        <w:rPr>
          <w:b w:val="0"/>
          <w:sz w:val="22"/>
          <w:szCs w:val="22"/>
        </w:rPr>
        <w:t>(</w:t>
      </w:r>
      <w:r>
        <w:rPr>
          <w:b w:val="0"/>
          <w:sz w:val="22"/>
          <w:szCs w:val="22"/>
        </w:rPr>
        <w:t xml:space="preserve">genital </w:t>
      </w:r>
      <w:r w:rsidRPr="009006EF">
        <w:rPr>
          <w:b w:val="0"/>
          <w:sz w:val="22"/>
          <w:szCs w:val="22"/>
        </w:rPr>
        <w:t>HSV-1 prevalence * HSV-2 prevalence)</w:t>
      </w:r>
      <w:r>
        <w:rPr>
          <w:b w:val="0"/>
          <w:sz w:val="22"/>
          <w:szCs w:val="22"/>
        </w:rPr>
        <w:t xml:space="preserve"> proportionate infections to avoid double-counting. This assumed that previous HSV-2 infection is completely protective against subsequent genital HSV-1 infection, but that genital HSV-1 infection does not afford any protection against subsequent HSV-2 infection. If there were two routes to coinfection, rather than one, coinfection </w:t>
      </w:r>
      <w:r w:rsidR="00B77CA3">
        <w:rPr>
          <w:b w:val="0"/>
          <w:sz w:val="22"/>
          <w:szCs w:val="22"/>
        </w:rPr>
        <w:t xml:space="preserve">prevalence </w:t>
      </w:r>
      <w:r>
        <w:rPr>
          <w:b w:val="0"/>
          <w:sz w:val="22"/>
          <w:szCs w:val="22"/>
        </w:rPr>
        <w:t xml:space="preserve">would be higher than that predicted by the product of the individual </w:t>
      </w:r>
      <w:proofErr w:type="spellStart"/>
      <w:r>
        <w:rPr>
          <w:b w:val="0"/>
          <w:sz w:val="22"/>
          <w:szCs w:val="22"/>
        </w:rPr>
        <w:t>prevalences</w:t>
      </w:r>
      <w:proofErr w:type="spellEnd"/>
      <w:r>
        <w:rPr>
          <w:b w:val="0"/>
          <w:sz w:val="22"/>
          <w:szCs w:val="22"/>
        </w:rPr>
        <w:t xml:space="preserve"> of HSV-2 and genital HSV-1 infection</w:t>
      </w:r>
      <w:r w:rsidR="00B77CA3">
        <w:rPr>
          <w:b w:val="0"/>
          <w:sz w:val="22"/>
          <w:szCs w:val="22"/>
        </w:rPr>
        <w:t>. (Conversely, the coinfection prevalence</w:t>
      </w:r>
      <w:r>
        <w:rPr>
          <w:b w:val="0"/>
          <w:sz w:val="22"/>
          <w:szCs w:val="22"/>
        </w:rPr>
        <w:t xml:space="preserve"> would be lower if genital HSV-1 did afford some protection against subsequent HSV-2, and therefore the total number of genital herpes infections would be even higher.) This was tested using a very simple deterministic compartmental model of genital HSV-1 and HSV-2.</w:t>
      </w:r>
    </w:p>
    <w:p w14:paraId="6D3A5625" w14:textId="7207C96B" w:rsidR="006568A7" w:rsidRPr="006568A7" w:rsidRDefault="006568A7" w:rsidP="00FA6C3E">
      <w:pPr>
        <w:pStyle w:val="Style1"/>
        <w:spacing w:line="480" w:lineRule="auto"/>
        <w:jc w:val="both"/>
        <w:rPr>
          <w:b w:val="0"/>
          <w:sz w:val="32"/>
          <w:szCs w:val="32"/>
        </w:rPr>
      </w:pPr>
      <w:r w:rsidRPr="006568A7">
        <w:rPr>
          <w:b w:val="0"/>
          <w:sz w:val="32"/>
          <w:szCs w:val="32"/>
        </w:rPr>
        <w:t>Uncertainty analysis</w:t>
      </w:r>
    </w:p>
    <w:p w14:paraId="3D046816" w14:textId="77777777" w:rsidR="0021575B" w:rsidRDefault="0021575B" w:rsidP="00310B0C">
      <w:pPr>
        <w:pStyle w:val="Style1"/>
        <w:spacing w:line="480" w:lineRule="auto"/>
        <w:jc w:val="both"/>
        <w:rPr>
          <w:b w:val="0"/>
          <w:sz w:val="22"/>
          <w:szCs w:val="22"/>
        </w:rPr>
      </w:pPr>
      <w:r>
        <w:rPr>
          <w:b w:val="0"/>
          <w:sz w:val="22"/>
          <w:szCs w:val="22"/>
        </w:rPr>
        <w:t xml:space="preserve">We computed 95% credible bounds around the numbers of individuals with prevalent HSV-1 infection in 2012 (any site and genital only), as a function of uncertainty in the underlying prevalence data, as follows. First, we sampled each region-specific, age-specific pooled HSV-1 prevalence value assuming a normal distribution, and derived the standard deviation for each pooled prevalence value from the results of the meta-analysis. The exception was for Africa, where only one pooled prevalence value was calculated and sampled (with raw prevalence values from single studies additionally used for subsequent model fitting). Thus, sampling will incorporate only a fraction of the total variation in the underlying prevalence data, and as such, the uncertainty bounds for Africa will not be reliable. Next, we recalibrated </w:t>
      </w:r>
      <w:r w:rsidRPr="00437CA2">
        <w:rPr>
          <w:b w:val="0"/>
          <w:sz w:val="22"/>
          <w:szCs w:val="22"/>
        </w:rPr>
        <w:t>λ and k</w:t>
      </w:r>
      <w:r>
        <w:rPr>
          <w:b w:val="0"/>
          <w:sz w:val="22"/>
          <w:szCs w:val="22"/>
        </w:rPr>
        <w:t xml:space="preserve"> for each set of sampled pooled prevalence values by region (by sex for the Americas and Europe) to obtain smoothed HSV-1 seroprevalence and estimates of the numbers infected as described above. This was done 1000 times. The resulting set of 1000 estimates was then sorted from low </w:t>
      </w:r>
      <w:proofErr w:type="spellStart"/>
      <w:r>
        <w:rPr>
          <w:b w:val="0"/>
          <w:sz w:val="22"/>
          <w:szCs w:val="22"/>
        </w:rPr>
        <w:t>to</w:t>
      </w:r>
      <w:proofErr w:type="spellEnd"/>
      <w:r>
        <w:rPr>
          <w:b w:val="0"/>
          <w:sz w:val="22"/>
          <w:szCs w:val="22"/>
        </w:rPr>
        <w:t xml:space="preserve"> high for each estimate, sex and region of interest and the 2.5 and 97.5 percentile es</w:t>
      </w:r>
      <w:bookmarkStart w:id="0" w:name="_GoBack"/>
      <w:bookmarkEnd w:id="0"/>
      <w:r>
        <w:rPr>
          <w:b w:val="0"/>
          <w:sz w:val="22"/>
          <w:szCs w:val="22"/>
        </w:rPr>
        <w:t xml:space="preserve">timates extracted for the lower and upper uncertainty bounds. </w:t>
      </w:r>
    </w:p>
    <w:p w14:paraId="7654140E" w14:textId="43EC15FC" w:rsidR="00310B0C" w:rsidRPr="006568A7" w:rsidRDefault="006568A7" w:rsidP="00310B0C">
      <w:pPr>
        <w:pStyle w:val="Style1"/>
        <w:spacing w:line="480" w:lineRule="auto"/>
        <w:jc w:val="both"/>
        <w:rPr>
          <w:b w:val="0"/>
          <w:sz w:val="32"/>
          <w:szCs w:val="32"/>
        </w:rPr>
      </w:pPr>
      <w:r w:rsidRPr="006568A7">
        <w:rPr>
          <w:b w:val="0"/>
          <w:sz w:val="32"/>
          <w:szCs w:val="32"/>
        </w:rPr>
        <w:t>References</w:t>
      </w:r>
    </w:p>
    <w:p w14:paraId="3BD6E634" w14:textId="77777777" w:rsidR="00B00EC5" w:rsidRPr="00B00EC5" w:rsidRDefault="00177A20" w:rsidP="00ED75BD">
      <w:pPr>
        <w:pStyle w:val="EndNoteBibliography"/>
        <w:spacing w:after="0" w:line="480" w:lineRule="auto"/>
        <w:ind w:left="720" w:hanging="720"/>
        <w:rPr>
          <w:sz w:val="22"/>
        </w:rPr>
      </w:pPr>
      <w:r w:rsidRPr="00B00EC5">
        <w:rPr>
          <w:rFonts w:eastAsia="Cambria" w:cs="Cambria"/>
          <w:b/>
          <w:sz w:val="22"/>
        </w:rPr>
        <w:lastRenderedPageBreak/>
        <w:fldChar w:fldCharType="begin"/>
      </w:r>
      <w:r w:rsidRPr="00B00EC5">
        <w:rPr>
          <w:rFonts w:eastAsia="Cambria" w:cs="Cambria"/>
          <w:b/>
          <w:sz w:val="22"/>
        </w:rPr>
        <w:instrText xml:space="preserve"> ADDIN EN.REFLIST </w:instrText>
      </w:r>
      <w:r w:rsidRPr="00B00EC5">
        <w:rPr>
          <w:rFonts w:eastAsia="Cambria" w:cs="Cambria"/>
          <w:b/>
          <w:sz w:val="22"/>
        </w:rPr>
        <w:fldChar w:fldCharType="separate"/>
      </w:r>
      <w:bookmarkStart w:id="1" w:name="_ENREF_1"/>
      <w:r w:rsidR="00B00EC5" w:rsidRPr="00B00EC5">
        <w:rPr>
          <w:sz w:val="22"/>
        </w:rPr>
        <w:t>1. Looker KJ, Garnett GP, Schmid GP (2008) An estimate of the global prevalence and incidence of herpes simplex virus type 2 infection. Bull World Health Organ 86: 805-812, A.</w:t>
      </w:r>
      <w:bookmarkEnd w:id="1"/>
    </w:p>
    <w:p w14:paraId="418C70C1" w14:textId="77777777" w:rsidR="00B00EC5" w:rsidRPr="00B00EC5" w:rsidRDefault="00B00EC5" w:rsidP="00ED75BD">
      <w:pPr>
        <w:pStyle w:val="EndNoteBibliography"/>
        <w:spacing w:after="0" w:line="480" w:lineRule="auto"/>
        <w:ind w:left="720" w:hanging="720"/>
        <w:rPr>
          <w:sz w:val="22"/>
        </w:rPr>
      </w:pPr>
      <w:bookmarkStart w:id="2" w:name="_ENREF_2"/>
      <w:r w:rsidRPr="00B00EC5">
        <w:rPr>
          <w:sz w:val="22"/>
        </w:rPr>
        <w:t>2. Smith JS, Robinson NJ (2002) Age-specific prevalence of infection with herpes simplex virus types 2 and 1: a global review. J Infect Dis 186 Suppl 1: S3-28.</w:t>
      </w:r>
      <w:bookmarkEnd w:id="2"/>
    </w:p>
    <w:p w14:paraId="5FF7E12F" w14:textId="77777777" w:rsidR="00B00EC5" w:rsidRPr="00B00EC5" w:rsidRDefault="00B00EC5" w:rsidP="00ED75BD">
      <w:pPr>
        <w:pStyle w:val="EndNoteBibliography"/>
        <w:spacing w:after="0" w:line="480" w:lineRule="auto"/>
        <w:ind w:left="720" w:hanging="720"/>
        <w:rPr>
          <w:sz w:val="22"/>
        </w:rPr>
      </w:pPr>
      <w:bookmarkStart w:id="3" w:name="_ENREF_3"/>
      <w:r w:rsidRPr="00B00EC5">
        <w:rPr>
          <w:sz w:val="22"/>
        </w:rPr>
        <w:t>3. Kelsey JL, Thompson WD, Evans AS (1986) Methods in Observational Epidemiology (Monographs in Epidemiology &amp; Biostatistics): Oxford University Press.</w:t>
      </w:r>
      <w:bookmarkEnd w:id="3"/>
    </w:p>
    <w:p w14:paraId="2AB570AA" w14:textId="77777777" w:rsidR="00B00EC5" w:rsidRPr="00B00EC5" w:rsidRDefault="00B00EC5" w:rsidP="00ED75BD">
      <w:pPr>
        <w:pStyle w:val="EndNoteBibliography"/>
        <w:spacing w:after="0" w:line="480" w:lineRule="auto"/>
        <w:ind w:left="720" w:hanging="720"/>
        <w:rPr>
          <w:sz w:val="22"/>
        </w:rPr>
      </w:pPr>
      <w:bookmarkStart w:id="4" w:name="_ENREF_4"/>
      <w:r w:rsidRPr="00B00EC5">
        <w:rPr>
          <w:sz w:val="22"/>
        </w:rPr>
        <w:t>4. Groen J, Van Dijk G, Niesters HG, Van Der Meijden WI, Osterhaus AD (1998) Comparison of two enzyme-linked immunosorbent assays and one rapid immunoblot assay for detection of herpes simplex virus type 2-specific antibodies in serum. J Clin Microbiol 36: 845-847.</w:t>
      </w:r>
      <w:bookmarkEnd w:id="4"/>
    </w:p>
    <w:p w14:paraId="73211D2F" w14:textId="77777777" w:rsidR="00B00EC5" w:rsidRPr="00B00EC5" w:rsidRDefault="00B00EC5" w:rsidP="00ED75BD">
      <w:pPr>
        <w:pStyle w:val="EndNoteBibliography"/>
        <w:spacing w:after="0" w:line="480" w:lineRule="auto"/>
        <w:ind w:left="720" w:hanging="720"/>
        <w:rPr>
          <w:sz w:val="22"/>
        </w:rPr>
      </w:pPr>
      <w:bookmarkStart w:id="5" w:name="_ENREF_5"/>
      <w:r w:rsidRPr="00B00EC5">
        <w:rPr>
          <w:sz w:val="22"/>
        </w:rPr>
        <w:t>5. Ribes JA, Smith A, Hayes M, Baker DJ, Winters JL (2002) Comparative performance of herpes simplex virus type 1-specific serologic assays from MRL and Meridian Diagnostics. J Clin Microbiol 40: 1071-1072.</w:t>
      </w:r>
      <w:bookmarkEnd w:id="5"/>
    </w:p>
    <w:p w14:paraId="3BD2F77F" w14:textId="77777777" w:rsidR="00B00EC5" w:rsidRPr="00B00EC5" w:rsidRDefault="00B00EC5" w:rsidP="00ED75BD">
      <w:pPr>
        <w:pStyle w:val="EndNoteBibliography"/>
        <w:spacing w:after="0" w:line="480" w:lineRule="auto"/>
        <w:ind w:left="720" w:hanging="720"/>
        <w:rPr>
          <w:sz w:val="22"/>
        </w:rPr>
      </w:pPr>
      <w:bookmarkStart w:id="6" w:name="_ENREF_6"/>
      <w:r w:rsidRPr="00B00EC5">
        <w:rPr>
          <w:sz w:val="22"/>
        </w:rPr>
        <w:t>6. Muench H (1959) Catalytic models in epidemiology. Harvard University Press.</w:t>
      </w:r>
      <w:bookmarkEnd w:id="6"/>
    </w:p>
    <w:p w14:paraId="32ECB757" w14:textId="77777777" w:rsidR="00B00EC5" w:rsidRPr="00B00EC5" w:rsidRDefault="00B00EC5" w:rsidP="00ED75BD">
      <w:pPr>
        <w:pStyle w:val="EndNoteBibliography"/>
        <w:spacing w:after="0" w:line="480" w:lineRule="auto"/>
        <w:ind w:left="720" w:hanging="720"/>
        <w:rPr>
          <w:sz w:val="22"/>
        </w:rPr>
      </w:pPr>
      <w:bookmarkStart w:id="7" w:name="_ENREF_7"/>
      <w:r w:rsidRPr="00B00EC5">
        <w:rPr>
          <w:sz w:val="22"/>
        </w:rPr>
        <w:t>7. World Population Prospects: The 2012 Revision. 2013 ed. New York, 2013: United Nations, Department of Economic and Social Affairs, Population Division.</w:t>
      </w:r>
      <w:bookmarkEnd w:id="7"/>
    </w:p>
    <w:p w14:paraId="65678AAE" w14:textId="77777777" w:rsidR="00B00EC5" w:rsidRPr="00B00EC5" w:rsidRDefault="00B00EC5" w:rsidP="00ED75BD">
      <w:pPr>
        <w:pStyle w:val="EndNoteBibliography"/>
        <w:spacing w:after="0" w:line="480" w:lineRule="auto"/>
        <w:ind w:left="720" w:hanging="720"/>
        <w:rPr>
          <w:sz w:val="22"/>
        </w:rPr>
      </w:pPr>
      <w:bookmarkStart w:id="8" w:name="_ENREF_8"/>
      <w:r w:rsidRPr="00B00EC5">
        <w:rPr>
          <w:sz w:val="22"/>
        </w:rPr>
        <w:t>8. Langenberg AG, Corey L, Ashley RL, Leong WP, Straus SE (1999) A prospective study of new infections with herpes simplex virus type 1 and type 2. Chiron HSV Vaccine Study Group. N Engl J Med 341: 1432-1438.</w:t>
      </w:r>
      <w:bookmarkEnd w:id="8"/>
    </w:p>
    <w:p w14:paraId="7D06579A" w14:textId="77777777" w:rsidR="00B00EC5" w:rsidRPr="00B00EC5" w:rsidRDefault="00B00EC5" w:rsidP="00ED75BD">
      <w:pPr>
        <w:pStyle w:val="EndNoteBibliography"/>
        <w:spacing w:after="0" w:line="480" w:lineRule="auto"/>
        <w:ind w:left="720" w:hanging="720"/>
        <w:rPr>
          <w:sz w:val="22"/>
        </w:rPr>
      </w:pPr>
      <w:bookmarkStart w:id="9" w:name="_ENREF_9"/>
      <w:r w:rsidRPr="00B00EC5">
        <w:rPr>
          <w:sz w:val="22"/>
        </w:rPr>
        <w:t>9. Bernstein DI, Bellamy AR, Hook EWr, Levin MJ, Wald A, et al. (2013) Epidemiology, clinical presentation, and antibody response to primary infection with herpes simplex virus type 1 and type 2 in young women. Clin Infect Dis 56: 344-351.</w:t>
      </w:r>
      <w:bookmarkEnd w:id="9"/>
    </w:p>
    <w:p w14:paraId="20A33530" w14:textId="77777777" w:rsidR="00B00EC5" w:rsidRPr="00B00EC5" w:rsidRDefault="00B00EC5" w:rsidP="00ED75BD">
      <w:pPr>
        <w:pStyle w:val="EndNoteBibliography"/>
        <w:spacing w:line="480" w:lineRule="auto"/>
        <w:ind w:left="720" w:hanging="720"/>
        <w:rPr>
          <w:sz w:val="22"/>
        </w:rPr>
      </w:pPr>
      <w:bookmarkStart w:id="10" w:name="_ENREF_10"/>
      <w:r w:rsidRPr="00B00EC5">
        <w:rPr>
          <w:sz w:val="22"/>
        </w:rPr>
        <w:t>10. Looker KJ, Magaret A, Turner KME, Vickerman P, Gottlieb SL, et al. (2015) Global estimates of prevalent and incident herpes simplex virus type 2 infections in 2012. PLoS One 1: e114989.</w:t>
      </w:r>
      <w:bookmarkEnd w:id="10"/>
    </w:p>
    <w:p w14:paraId="08E8E42A" w14:textId="1332D85D" w:rsidR="00113359" w:rsidRPr="00B00EC5" w:rsidRDefault="00177A20" w:rsidP="00ED75BD">
      <w:pPr>
        <w:pStyle w:val="EndNoteBibliography"/>
        <w:spacing w:line="480" w:lineRule="auto"/>
        <w:rPr>
          <w:rFonts w:eastAsia="Cambria" w:cs="Cambria"/>
          <w:b/>
          <w:sz w:val="22"/>
        </w:rPr>
      </w:pPr>
      <w:r w:rsidRPr="00B00EC5">
        <w:rPr>
          <w:rFonts w:eastAsia="Cambria" w:cs="Cambria"/>
          <w:b/>
          <w:sz w:val="22"/>
        </w:rPr>
        <w:fldChar w:fldCharType="end"/>
      </w:r>
    </w:p>
    <w:sectPr w:rsidR="00113359" w:rsidRPr="00B00EC5" w:rsidSect="008677F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237B" w14:textId="77777777" w:rsidR="00195BC5" w:rsidRDefault="00195BC5" w:rsidP="000810F2">
      <w:pPr>
        <w:spacing w:after="0" w:line="240" w:lineRule="auto"/>
      </w:pPr>
      <w:r>
        <w:separator/>
      </w:r>
    </w:p>
  </w:endnote>
  <w:endnote w:type="continuationSeparator" w:id="0">
    <w:p w14:paraId="3B10D9E7" w14:textId="77777777" w:rsidR="00195BC5" w:rsidRDefault="00195BC5" w:rsidP="0008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485918"/>
      <w:docPartObj>
        <w:docPartGallery w:val="Page Numbers (Bottom of Page)"/>
        <w:docPartUnique/>
      </w:docPartObj>
    </w:sdtPr>
    <w:sdtEndPr>
      <w:rPr>
        <w:noProof/>
      </w:rPr>
    </w:sdtEndPr>
    <w:sdtContent>
      <w:p w14:paraId="182FCD1C" w14:textId="305B131F" w:rsidR="00195BC5" w:rsidRDefault="00195BC5">
        <w:pPr>
          <w:pStyle w:val="Footer"/>
          <w:jc w:val="center"/>
        </w:pPr>
        <w:r>
          <w:fldChar w:fldCharType="begin"/>
        </w:r>
        <w:r>
          <w:instrText xml:space="preserve"> PAGE   \* MERGEFORMAT </w:instrText>
        </w:r>
        <w:r>
          <w:fldChar w:fldCharType="separate"/>
        </w:r>
        <w:r w:rsidR="00ED75BD">
          <w:rPr>
            <w:noProof/>
          </w:rPr>
          <w:t>7</w:t>
        </w:r>
        <w:r>
          <w:rPr>
            <w:noProof/>
          </w:rPr>
          <w:fldChar w:fldCharType="end"/>
        </w:r>
      </w:p>
    </w:sdtContent>
  </w:sdt>
  <w:p w14:paraId="581667ED" w14:textId="77777777" w:rsidR="00195BC5" w:rsidRDefault="0019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175C5" w14:textId="77777777" w:rsidR="00195BC5" w:rsidRDefault="00195BC5" w:rsidP="000810F2">
      <w:pPr>
        <w:spacing w:after="0" w:line="240" w:lineRule="auto"/>
      </w:pPr>
      <w:r>
        <w:separator/>
      </w:r>
    </w:p>
  </w:footnote>
  <w:footnote w:type="continuationSeparator" w:id="0">
    <w:p w14:paraId="1B914635" w14:textId="77777777" w:rsidR="00195BC5" w:rsidRDefault="00195BC5" w:rsidP="00081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501F8"/>
    <w:multiLevelType w:val="hybridMultilevel"/>
    <w:tmpl w:val="B03EE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A4275C"/>
    <w:multiLevelType w:val="hybridMultilevel"/>
    <w:tmpl w:val="C5EA5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8F63DE"/>
    <w:multiLevelType w:val="hybridMultilevel"/>
    <w:tmpl w:val="09AE9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52534F"/>
    <w:multiLevelType w:val="hybridMultilevel"/>
    <w:tmpl w:val="6BB2F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56745C"/>
    <w:multiLevelType w:val="hybridMultilevel"/>
    <w:tmpl w:val="75944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0wzaadsya5vxreertmpvrzmvxza55faedpw&quot;&gt;WHO 2012 manuscript refs&lt;record-ids&gt;&lt;item&gt;7&lt;/item&gt;&lt;item&gt;8&lt;/item&gt;&lt;item&gt;43&lt;/item&gt;&lt;item&gt;75&lt;/item&gt;&lt;item&gt;81&lt;/item&gt;&lt;item&gt;102&lt;/item&gt;&lt;item&gt;104&lt;/item&gt;&lt;item&gt;105&lt;/item&gt;&lt;item&gt;120&lt;/item&gt;&lt;item&gt;153&lt;/item&gt;&lt;/record-ids&gt;&lt;/item&gt;&lt;/Libraries&gt;"/>
  </w:docVars>
  <w:rsids>
    <w:rsidRoot w:val="0034527D"/>
    <w:rsid w:val="00001EA0"/>
    <w:rsid w:val="000038F6"/>
    <w:rsid w:val="00005BA0"/>
    <w:rsid w:val="00012CA6"/>
    <w:rsid w:val="00012E23"/>
    <w:rsid w:val="00014082"/>
    <w:rsid w:val="00014E60"/>
    <w:rsid w:val="00014F6D"/>
    <w:rsid w:val="00015C72"/>
    <w:rsid w:val="00024743"/>
    <w:rsid w:val="00030855"/>
    <w:rsid w:val="00033671"/>
    <w:rsid w:val="00035C9B"/>
    <w:rsid w:val="0003714D"/>
    <w:rsid w:val="00041786"/>
    <w:rsid w:val="000439B5"/>
    <w:rsid w:val="00043B04"/>
    <w:rsid w:val="00044181"/>
    <w:rsid w:val="00047262"/>
    <w:rsid w:val="000529FB"/>
    <w:rsid w:val="00054DAC"/>
    <w:rsid w:val="0005505F"/>
    <w:rsid w:val="00062306"/>
    <w:rsid w:val="00062718"/>
    <w:rsid w:val="0006336D"/>
    <w:rsid w:val="000669FC"/>
    <w:rsid w:val="000670A8"/>
    <w:rsid w:val="000730EC"/>
    <w:rsid w:val="0007720A"/>
    <w:rsid w:val="000810F2"/>
    <w:rsid w:val="000817E2"/>
    <w:rsid w:val="000826AE"/>
    <w:rsid w:val="00083590"/>
    <w:rsid w:val="00085ECE"/>
    <w:rsid w:val="00086512"/>
    <w:rsid w:val="000868BB"/>
    <w:rsid w:val="00086A96"/>
    <w:rsid w:val="00091494"/>
    <w:rsid w:val="0009307B"/>
    <w:rsid w:val="00095811"/>
    <w:rsid w:val="00096C3B"/>
    <w:rsid w:val="000A0DCE"/>
    <w:rsid w:val="000A3030"/>
    <w:rsid w:val="000A743D"/>
    <w:rsid w:val="000A7F2C"/>
    <w:rsid w:val="000B2297"/>
    <w:rsid w:val="000B5B3C"/>
    <w:rsid w:val="000B6BFD"/>
    <w:rsid w:val="000C0587"/>
    <w:rsid w:val="000C1AFE"/>
    <w:rsid w:val="000C286E"/>
    <w:rsid w:val="000C6DD9"/>
    <w:rsid w:val="000D0580"/>
    <w:rsid w:val="000D30D1"/>
    <w:rsid w:val="000E3703"/>
    <w:rsid w:val="000E46F4"/>
    <w:rsid w:val="000F18C4"/>
    <w:rsid w:val="000F28FC"/>
    <w:rsid w:val="000F2A66"/>
    <w:rsid w:val="000F436A"/>
    <w:rsid w:val="000F5DD8"/>
    <w:rsid w:val="001004A8"/>
    <w:rsid w:val="00100F6E"/>
    <w:rsid w:val="00105BA4"/>
    <w:rsid w:val="00105E55"/>
    <w:rsid w:val="001069C1"/>
    <w:rsid w:val="00106FFC"/>
    <w:rsid w:val="001076C9"/>
    <w:rsid w:val="00110CE0"/>
    <w:rsid w:val="00113359"/>
    <w:rsid w:val="00113E0B"/>
    <w:rsid w:val="00114974"/>
    <w:rsid w:val="00114C78"/>
    <w:rsid w:val="0011647B"/>
    <w:rsid w:val="001179EA"/>
    <w:rsid w:val="00121512"/>
    <w:rsid w:val="001215C0"/>
    <w:rsid w:val="00121AE5"/>
    <w:rsid w:val="0012352E"/>
    <w:rsid w:val="00125174"/>
    <w:rsid w:val="00131F43"/>
    <w:rsid w:val="00135DF8"/>
    <w:rsid w:val="00136122"/>
    <w:rsid w:val="001401FD"/>
    <w:rsid w:val="00141203"/>
    <w:rsid w:val="001505A9"/>
    <w:rsid w:val="001521E3"/>
    <w:rsid w:val="00152B50"/>
    <w:rsid w:val="00153998"/>
    <w:rsid w:val="00153EC6"/>
    <w:rsid w:val="00154271"/>
    <w:rsid w:val="00156A0D"/>
    <w:rsid w:val="00163647"/>
    <w:rsid w:val="00167DBA"/>
    <w:rsid w:val="00171C5F"/>
    <w:rsid w:val="001724A4"/>
    <w:rsid w:val="00172975"/>
    <w:rsid w:val="001753A7"/>
    <w:rsid w:val="001760B2"/>
    <w:rsid w:val="00177A20"/>
    <w:rsid w:val="00180D47"/>
    <w:rsid w:val="001818C4"/>
    <w:rsid w:val="00184AAD"/>
    <w:rsid w:val="00185015"/>
    <w:rsid w:val="001933E3"/>
    <w:rsid w:val="00194583"/>
    <w:rsid w:val="00195BC5"/>
    <w:rsid w:val="00197212"/>
    <w:rsid w:val="001A0790"/>
    <w:rsid w:val="001A1EBE"/>
    <w:rsid w:val="001A22C7"/>
    <w:rsid w:val="001A3713"/>
    <w:rsid w:val="001A3953"/>
    <w:rsid w:val="001A6D10"/>
    <w:rsid w:val="001B0CDC"/>
    <w:rsid w:val="001B1728"/>
    <w:rsid w:val="001B2061"/>
    <w:rsid w:val="001B2084"/>
    <w:rsid w:val="001B7DF5"/>
    <w:rsid w:val="001C07B6"/>
    <w:rsid w:val="001C5BB5"/>
    <w:rsid w:val="001D4D95"/>
    <w:rsid w:val="001D5B70"/>
    <w:rsid w:val="001E0ABA"/>
    <w:rsid w:val="001E1F27"/>
    <w:rsid w:val="001E2D61"/>
    <w:rsid w:val="001E3B10"/>
    <w:rsid w:val="001E48F0"/>
    <w:rsid w:val="001E5CC0"/>
    <w:rsid w:val="001E607B"/>
    <w:rsid w:val="001E6B33"/>
    <w:rsid w:val="001E7913"/>
    <w:rsid w:val="001F1967"/>
    <w:rsid w:val="001F7EC9"/>
    <w:rsid w:val="00200FC2"/>
    <w:rsid w:val="002010F5"/>
    <w:rsid w:val="00201FB6"/>
    <w:rsid w:val="002021A6"/>
    <w:rsid w:val="0020468F"/>
    <w:rsid w:val="00205177"/>
    <w:rsid w:val="002056F7"/>
    <w:rsid w:val="002072E5"/>
    <w:rsid w:val="00210F38"/>
    <w:rsid w:val="00214C01"/>
    <w:rsid w:val="00215198"/>
    <w:rsid w:val="0021547B"/>
    <w:rsid w:val="0021575B"/>
    <w:rsid w:val="00215F22"/>
    <w:rsid w:val="0021756C"/>
    <w:rsid w:val="00217D5D"/>
    <w:rsid w:val="002204E4"/>
    <w:rsid w:val="002210B8"/>
    <w:rsid w:val="00224C0D"/>
    <w:rsid w:val="00232224"/>
    <w:rsid w:val="00235333"/>
    <w:rsid w:val="0023698D"/>
    <w:rsid w:val="002400B8"/>
    <w:rsid w:val="0024437B"/>
    <w:rsid w:val="0024456B"/>
    <w:rsid w:val="00246EAA"/>
    <w:rsid w:val="00250B32"/>
    <w:rsid w:val="0025296B"/>
    <w:rsid w:val="00253A2C"/>
    <w:rsid w:val="002541DC"/>
    <w:rsid w:val="00254B8F"/>
    <w:rsid w:val="00261EE6"/>
    <w:rsid w:val="00265078"/>
    <w:rsid w:val="00266740"/>
    <w:rsid w:val="002677BF"/>
    <w:rsid w:val="00267AD9"/>
    <w:rsid w:val="0027045A"/>
    <w:rsid w:val="0027329D"/>
    <w:rsid w:val="002747F8"/>
    <w:rsid w:val="00281C0A"/>
    <w:rsid w:val="00282114"/>
    <w:rsid w:val="00283206"/>
    <w:rsid w:val="00283E02"/>
    <w:rsid w:val="00284209"/>
    <w:rsid w:val="00284EA7"/>
    <w:rsid w:val="002862E4"/>
    <w:rsid w:val="002919FD"/>
    <w:rsid w:val="00293EC3"/>
    <w:rsid w:val="0029724E"/>
    <w:rsid w:val="00297C5E"/>
    <w:rsid w:val="002A08B0"/>
    <w:rsid w:val="002A2AD9"/>
    <w:rsid w:val="002A44DB"/>
    <w:rsid w:val="002A4C94"/>
    <w:rsid w:val="002B0E25"/>
    <w:rsid w:val="002B27E5"/>
    <w:rsid w:val="002B40DE"/>
    <w:rsid w:val="002B4161"/>
    <w:rsid w:val="002B4572"/>
    <w:rsid w:val="002B5F68"/>
    <w:rsid w:val="002C3092"/>
    <w:rsid w:val="002C4293"/>
    <w:rsid w:val="002C5592"/>
    <w:rsid w:val="002C6DD9"/>
    <w:rsid w:val="002C78F5"/>
    <w:rsid w:val="002D083D"/>
    <w:rsid w:val="002D37BA"/>
    <w:rsid w:val="002D40B7"/>
    <w:rsid w:val="002D53BF"/>
    <w:rsid w:val="002D588B"/>
    <w:rsid w:val="002E69BC"/>
    <w:rsid w:val="002F13AD"/>
    <w:rsid w:val="002F24FC"/>
    <w:rsid w:val="002F33C8"/>
    <w:rsid w:val="002F70BB"/>
    <w:rsid w:val="002F7A5A"/>
    <w:rsid w:val="003018D1"/>
    <w:rsid w:val="00301B0D"/>
    <w:rsid w:val="00305017"/>
    <w:rsid w:val="00310B0C"/>
    <w:rsid w:val="00314869"/>
    <w:rsid w:val="00316C08"/>
    <w:rsid w:val="003203F4"/>
    <w:rsid w:val="003246B5"/>
    <w:rsid w:val="00324C0C"/>
    <w:rsid w:val="00324EB7"/>
    <w:rsid w:val="00331E84"/>
    <w:rsid w:val="0033651B"/>
    <w:rsid w:val="003408AE"/>
    <w:rsid w:val="00340D6C"/>
    <w:rsid w:val="0034527D"/>
    <w:rsid w:val="00346706"/>
    <w:rsid w:val="003468FC"/>
    <w:rsid w:val="003524B6"/>
    <w:rsid w:val="00354DFB"/>
    <w:rsid w:val="00355D93"/>
    <w:rsid w:val="00356D2E"/>
    <w:rsid w:val="00360D10"/>
    <w:rsid w:val="003618A6"/>
    <w:rsid w:val="00362D5C"/>
    <w:rsid w:val="00366DF1"/>
    <w:rsid w:val="003673D2"/>
    <w:rsid w:val="00367A3E"/>
    <w:rsid w:val="00372986"/>
    <w:rsid w:val="00372CEF"/>
    <w:rsid w:val="00373521"/>
    <w:rsid w:val="00375071"/>
    <w:rsid w:val="00375B65"/>
    <w:rsid w:val="0038096E"/>
    <w:rsid w:val="00381DEE"/>
    <w:rsid w:val="00384EA8"/>
    <w:rsid w:val="0038558A"/>
    <w:rsid w:val="00386DD3"/>
    <w:rsid w:val="003905AF"/>
    <w:rsid w:val="00391F65"/>
    <w:rsid w:val="0039289E"/>
    <w:rsid w:val="00392DA2"/>
    <w:rsid w:val="003936DA"/>
    <w:rsid w:val="00394A58"/>
    <w:rsid w:val="00397C98"/>
    <w:rsid w:val="00397EFC"/>
    <w:rsid w:val="003A272E"/>
    <w:rsid w:val="003A30C3"/>
    <w:rsid w:val="003A4A4D"/>
    <w:rsid w:val="003A4D9B"/>
    <w:rsid w:val="003B18EF"/>
    <w:rsid w:val="003B336B"/>
    <w:rsid w:val="003B3497"/>
    <w:rsid w:val="003B4D47"/>
    <w:rsid w:val="003B500E"/>
    <w:rsid w:val="003C03C2"/>
    <w:rsid w:val="003C2328"/>
    <w:rsid w:val="003C3B10"/>
    <w:rsid w:val="003C63A5"/>
    <w:rsid w:val="003D0C48"/>
    <w:rsid w:val="003D13A7"/>
    <w:rsid w:val="003D1428"/>
    <w:rsid w:val="003D2409"/>
    <w:rsid w:val="003D33AB"/>
    <w:rsid w:val="003D62C1"/>
    <w:rsid w:val="003D71B5"/>
    <w:rsid w:val="003D7722"/>
    <w:rsid w:val="003D779D"/>
    <w:rsid w:val="003D7F5C"/>
    <w:rsid w:val="003E0EFC"/>
    <w:rsid w:val="003E383B"/>
    <w:rsid w:val="003E3C91"/>
    <w:rsid w:val="003E4244"/>
    <w:rsid w:val="003E661A"/>
    <w:rsid w:val="003E6CB9"/>
    <w:rsid w:val="003F3238"/>
    <w:rsid w:val="003F60BE"/>
    <w:rsid w:val="003F75E3"/>
    <w:rsid w:val="004004F9"/>
    <w:rsid w:val="00401E9D"/>
    <w:rsid w:val="00402C74"/>
    <w:rsid w:val="004042D9"/>
    <w:rsid w:val="00405BDB"/>
    <w:rsid w:val="00405FDB"/>
    <w:rsid w:val="004068E6"/>
    <w:rsid w:val="00407779"/>
    <w:rsid w:val="004117E6"/>
    <w:rsid w:val="00411ECC"/>
    <w:rsid w:val="004128F8"/>
    <w:rsid w:val="0041750B"/>
    <w:rsid w:val="004272DB"/>
    <w:rsid w:val="004306FA"/>
    <w:rsid w:val="00434CF0"/>
    <w:rsid w:val="00435FC2"/>
    <w:rsid w:val="00436DD3"/>
    <w:rsid w:val="004373B3"/>
    <w:rsid w:val="00437CA2"/>
    <w:rsid w:val="00440CE2"/>
    <w:rsid w:val="00441BF5"/>
    <w:rsid w:val="0044265A"/>
    <w:rsid w:val="00445314"/>
    <w:rsid w:val="0045145A"/>
    <w:rsid w:val="00454400"/>
    <w:rsid w:val="004616E7"/>
    <w:rsid w:val="00464B15"/>
    <w:rsid w:val="00464E56"/>
    <w:rsid w:val="00466413"/>
    <w:rsid w:val="00470EE0"/>
    <w:rsid w:val="00471111"/>
    <w:rsid w:val="004718A6"/>
    <w:rsid w:val="0047270B"/>
    <w:rsid w:val="00472D06"/>
    <w:rsid w:val="0047309B"/>
    <w:rsid w:val="00474E16"/>
    <w:rsid w:val="00475A11"/>
    <w:rsid w:val="00475C1E"/>
    <w:rsid w:val="00483165"/>
    <w:rsid w:val="00483502"/>
    <w:rsid w:val="00486623"/>
    <w:rsid w:val="00487643"/>
    <w:rsid w:val="004913D8"/>
    <w:rsid w:val="0049164C"/>
    <w:rsid w:val="00493C02"/>
    <w:rsid w:val="00493D79"/>
    <w:rsid w:val="00494A58"/>
    <w:rsid w:val="00496EBA"/>
    <w:rsid w:val="00497794"/>
    <w:rsid w:val="004A0394"/>
    <w:rsid w:val="004A04FA"/>
    <w:rsid w:val="004A2021"/>
    <w:rsid w:val="004A36C7"/>
    <w:rsid w:val="004A498B"/>
    <w:rsid w:val="004A6147"/>
    <w:rsid w:val="004A698C"/>
    <w:rsid w:val="004B047C"/>
    <w:rsid w:val="004B1AA8"/>
    <w:rsid w:val="004B2578"/>
    <w:rsid w:val="004B30FC"/>
    <w:rsid w:val="004B354E"/>
    <w:rsid w:val="004B4DE1"/>
    <w:rsid w:val="004C3CE7"/>
    <w:rsid w:val="004C4E0B"/>
    <w:rsid w:val="004D0EEF"/>
    <w:rsid w:val="004D214E"/>
    <w:rsid w:val="004D3419"/>
    <w:rsid w:val="004D4BCB"/>
    <w:rsid w:val="004D5C39"/>
    <w:rsid w:val="004D6DAC"/>
    <w:rsid w:val="004D6F19"/>
    <w:rsid w:val="004E2063"/>
    <w:rsid w:val="004E3760"/>
    <w:rsid w:val="004E4B1D"/>
    <w:rsid w:val="004E6FCF"/>
    <w:rsid w:val="004F0DC7"/>
    <w:rsid w:val="004F1199"/>
    <w:rsid w:val="004F3AFC"/>
    <w:rsid w:val="004F4952"/>
    <w:rsid w:val="004F4E1A"/>
    <w:rsid w:val="004F53B2"/>
    <w:rsid w:val="004F659E"/>
    <w:rsid w:val="004F730E"/>
    <w:rsid w:val="004F73A7"/>
    <w:rsid w:val="004F7E4D"/>
    <w:rsid w:val="0050038D"/>
    <w:rsid w:val="005012CE"/>
    <w:rsid w:val="00502CDA"/>
    <w:rsid w:val="0050362D"/>
    <w:rsid w:val="00503FAF"/>
    <w:rsid w:val="005059DF"/>
    <w:rsid w:val="0051173B"/>
    <w:rsid w:val="00513894"/>
    <w:rsid w:val="00514EFC"/>
    <w:rsid w:val="00521ECC"/>
    <w:rsid w:val="00522698"/>
    <w:rsid w:val="00524C70"/>
    <w:rsid w:val="00526C2E"/>
    <w:rsid w:val="00530C26"/>
    <w:rsid w:val="00531C00"/>
    <w:rsid w:val="00535881"/>
    <w:rsid w:val="005376D8"/>
    <w:rsid w:val="005405A9"/>
    <w:rsid w:val="00541808"/>
    <w:rsid w:val="00543979"/>
    <w:rsid w:val="00544ED4"/>
    <w:rsid w:val="005453F4"/>
    <w:rsid w:val="00545C0F"/>
    <w:rsid w:val="005503FD"/>
    <w:rsid w:val="00552071"/>
    <w:rsid w:val="0055571F"/>
    <w:rsid w:val="00557DEA"/>
    <w:rsid w:val="00560B65"/>
    <w:rsid w:val="00561AC0"/>
    <w:rsid w:val="00562CE1"/>
    <w:rsid w:val="00563F2F"/>
    <w:rsid w:val="005642D8"/>
    <w:rsid w:val="00564A66"/>
    <w:rsid w:val="00565359"/>
    <w:rsid w:val="00566BEB"/>
    <w:rsid w:val="005672D3"/>
    <w:rsid w:val="00567F1D"/>
    <w:rsid w:val="00571940"/>
    <w:rsid w:val="00572556"/>
    <w:rsid w:val="00574254"/>
    <w:rsid w:val="005778E1"/>
    <w:rsid w:val="00577BFE"/>
    <w:rsid w:val="00580BC1"/>
    <w:rsid w:val="00580C44"/>
    <w:rsid w:val="005817FC"/>
    <w:rsid w:val="005825AA"/>
    <w:rsid w:val="005833D4"/>
    <w:rsid w:val="005835A1"/>
    <w:rsid w:val="00583730"/>
    <w:rsid w:val="005838E0"/>
    <w:rsid w:val="005841B0"/>
    <w:rsid w:val="005853B5"/>
    <w:rsid w:val="00587674"/>
    <w:rsid w:val="005A0B0C"/>
    <w:rsid w:val="005A1404"/>
    <w:rsid w:val="005A361A"/>
    <w:rsid w:val="005A5491"/>
    <w:rsid w:val="005A5B12"/>
    <w:rsid w:val="005A6306"/>
    <w:rsid w:val="005A6380"/>
    <w:rsid w:val="005A7A89"/>
    <w:rsid w:val="005B64E7"/>
    <w:rsid w:val="005B674C"/>
    <w:rsid w:val="005B7BEC"/>
    <w:rsid w:val="005C06BF"/>
    <w:rsid w:val="005C0A17"/>
    <w:rsid w:val="005C3688"/>
    <w:rsid w:val="005C3CDB"/>
    <w:rsid w:val="005C438C"/>
    <w:rsid w:val="005C4D01"/>
    <w:rsid w:val="005C573A"/>
    <w:rsid w:val="005C6BCD"/>
    <w:rsid w:val="005D1411"/>
    <w:rsid w:val="005D25E5"/>
    <w:rsid w:val="005D4671"/>
    <w:rsid w:val="005E42EE"/>
    <w:rsid w:val="005E493F"/>
    <w:rsid w:val="005E4EED"/>
    <w:rsid w:val="005E591F"/>
    <w:rsid w:val="005E6525"/>
    <w:rsid w:val="005E7987"/>
    <w:rsid w:val="005F1126"/>
    <w:rsid w:val="005F18F9"/>
    <w:rsid w:val="005F335B"/>
    <w:rsid w:val="005F5095"/>
    <w:rsid w:val="005F53F2"/>
    <w:rsid w:val="005F5433"/>
    <w:rsid w:val="0060022A"/>
    <w:rsid w:val="00603CEF"/>
    <w:rsid w:val="00610799"/>
    <w:rsid w:val="00610CED"/>
    <w:rsid w:val="006113A8"/>
    <w:rsid w:val="006121B1"/>
    <w:rsid w:val="006127C4"/>
    <w:rsid w:val="0061395D"/>
    <w:rsid w:val="0061430A"/>
    <w:rsid w:val="00614E7D"/>
    <w:rsid w:val="00616F6C"/>
    <w:rsid w:val="00617F17"/>
    <w:rsid w:val="006202D5"/>
    <w:rsid w:val="00622E80"/>
    <w:rsid w:val="00624680"/>
    <w:rsid w:val="006253C5"/>
    <w:rsid w:val="00627054"/>
    <w:rsid w:val="00627438"/>
    <w:rsid w:val="00627BF0"/>
    <w:rsid w:val="006340E5"/>
    <w:rsid w:val="00636CE3"/>
    <w:rsid w:val="00637CA6"/>
    <w:rsid w:val="00637FE0"/>
    <w:rsid w:val="00641BAA"/>
    <w:rsid w:val="006428A2"/>
    <w:rsid w:val="00644F33"/>
    <w:rsid w:val="006465F0"/>
    <w:rsid w:val="0065145E"/>
    <w:rsid w:val="00652034"/>
    <w:rsid w:val="00652BD6"/>
    <w:rsid w:val="00655EE6"/>
    <w:rsid w:val="00655EE9"/>
    <w:rsid w:val="00656353"/>
    <w:rsid w:val="006568A7"/>
    <w:rsid w:val="006573A1"/>
    <w:rsid w:val="00661B71"/>
    <w:rsid w:val="00662985"/>
    <w:rsid w:val="00662E0B"/>
    <w:rsid w:val="00663DF0"/>
    <w:rsid w:val="0066758F"/>
    <w:rsid w:val="00667A38"/>
    <w:rsid w:val="00670252"/>
    <w:rsid w:val="00672A56"/>
    <w:rsid w:val="006742C8"/>
    <w:rsid w:val="00675326"/>
    <w:rsid w:val="00675452"/>
    <w:rsid w:val="006759DC"/>
    <w:rsid w:val="006764C0"/>
    <w:rsid w:val="00676F27"/>
    <w:rsid w:val="0068346A"/>
    <w:rsid w:val="00687D20"/>
    <w:rsid w:val="00690D0B"/>
    <w:rsid w:val="006911A7"/>
    <w:rsid w:val="00691B0C"/>
    <w:rsid w:val="006A12CC"/>
    <w:rsid w:val="006A1493"/>
    <w:rsid w:val="006A1A23"/>
    <w:rsid w:val="006A2EF2"/>
    <w:rsid w:val="006A601C"/>
    <w:rsid w:val="006A6132"/>
    <w:rsid w:val="006A64DA"/>
    <w:rsid w:val="006B1F43"/>
    <w:rsid w:val="006B2BF2"/>
    <w:rsid w:val="006B5451"/>
    <w:rsid w:val="006B5B8C"/>
    <w:rsid w:val="006B5E1C"/>
    <w:rsid w:val="006B61FC"/>
    <w:rsid w:val="006B64E7"/>
    <w:rsid w:val="006B671C"/>
    <w:rsid w:val="006B6FE5"/>
    <w:rsid w:val="006C0F79"/>
    <w:rsid w:val="006C12C6"/>
    <w:rsid w:val="006C1721"/>
    <w:rsid w:val="006C3F6A"/>
    <w:rsid w:val="006C4148"/>
    <w:rsid w:val="006C4515"/>
    <w:rsid w:val="006C55D0"/>
    <w:rsid w:val="006C5D87"/>
    <w:rsid w:val="006D01AD"/>
    <w:rsid w:val="006D089B"/>
    <w:rsid w:val="006D2757"/>
    <w:rsid w:val="006E454C"/>
    <w:rsid w:val="006E4FC7"/>
    <w:rsid w:val="006E501C"/>
    <w:rsid w:val="006E5874"/>
    <w:rsid w:val="006E6CED"/>
    <w:rsid w:val="006E6F6C"/>
    <w:rsid w:val="006F249E"/>
    <w:rsid w:val="006F2F38"/>
    <w:rsid w:val="006F3D37"/>
    <w:rsid w:val="006F4003"/>
    <w:rsid w:val="006F6AFB"/>
    <w:rsid w:val="006F6B9B"/>
    <w:rsid w:val="006F7CAC"/>
    <w:rsid w:val="00701FE7"/>
    <w:rsid w:val="00702C0D"/>
    <w:rsid w:val="0070381C"/>
    <w:rsid w:val="0070518D"/>
    <w:rsid w:val="00705DBA"/>
    <w:rsid w:val="00706729"/>
    <w:rsid w:val="00707A41"/>
    <w:rsid w:val="007115BD"/>
    <w:rsid w:val="007119CF"/>
    <w:rsid w:val="00711BE6"/>
    <w:rsid w:val="00711FE0"/>
    <w:rsid w:val="007132A4"/>
    <w:rsid w:val="00713B18"/>
    <w:rsid w:val="0071652C"/>
    <w:rsid w:val="00716EF5"/>
    <w:rsid w:val="0072004B"/>
    <w:rsid w:val="007246A3"/>
    <w:rsid w:val="0072556A"/>
    <w:rsid w:val="00725D40"/>
    <w:rsid w:val="0072600E"/>
    <w:rsid w:val="00726537"/>
    <w:rsid w:val="0072696C"/>
    <w:rsid w:val="0073239B"/>
    <w:rsid w:val="0073244D"/>
    <w:rsid w:val="00733F9F"/>
    <w:rsid w:val="0073495A"/>
    <w:rsid w:val="00735D52"/>
    <w:rsid w:val="007361D9"/>
    <w:rsid w:val="0073670B"/>
    <w:rsid w:val="00736888"/>
    <w:rsid w:val="00741A02"/>
    <w:rsid w:val="007441FC"/>
    <w:rsid w:val="00747DD5"/>
    <w:rsid w:val="0075083A"/>
    <w:rsid w:val="00753174"/>
    <w:rsid w:val="007561D0"/>
    <w:rsid w:val="0075670A"/>
    <w:rsid w:val="00762707"/>
    <w:rsid w:val="00762EEF"/>
    <w:rsid w:val="0076419F"/>
    <w:rsid w:val="007653ED"/>
    <w:rsid w:val="0076549A"/>
    <w:rsid w:val="00765E27"/>
    <w:rsid w:val="0077000A"/>
    <w:rsid w:val="007709D9"/>
    <w:rsid w:val="00771201"/>
    <w:rsid w:val="007728C7"/>
    <w:rsid w:val="0077323B"/>
    <w:rsid w:val="0077385B"/>
    <w:rsid w:val="007749FE"/>
    <w:rsid w:val="00781FCA"/>
    <w:rsid w:val="007900F5"/>
    <w:rsid w:val="00793798"/>
    <w:rsid w:val="00794098"/>
    <w:rsid w:val="00797E39"/>
    <w:rsid w:val="007A35EF"/>
    <w:rsid w:val="007A3FC4"/>
    <w:rsid w:val="007A4057"/>
    <w:rsid w:val="007B171C"/>
    <w:rsid w:val="007B1D30"/>
    <w:rsid w:val="007B2CED"/>
    <w:rsid w:val="007B3422"/>
    <w:rsid w:val="007B48B8"/>
    <w:rsid w:val="007C2760"/>
    <w:rsid w:val="007C4022"/>
    <w:rsid w:val="007C6D2D"/>
    <w:rsid w:val="007C7481"/>
    <w:rsid w:val="007C79CB"/>
    <w:rsid w:val="007C7F69"/>
    <w:rsid w:val="007D07CC"/>
    <w:rsid w:val="007D4524"/>
    <w:rsid w:val="007D6C43"/>
    <w:rsid w:val="007E1BAF"/>
    <w:rsid w:val="007E3F7E"/>
    <w:rsid w:val="007F11EF"/>
    <w:rsid w:val="007F1441"/>
    <w:rsid w:val="007F3819"/>
    <w:rsid w:val="007F43F1"/>
    <w:rsid w:val="007F45A4"/>
    <w:rsid w:val="007F4D48"/>
    <w:rsid w:val="007F7EA4"/>
    <w:rsid w:val="00800D3D"/>
    <w:rsid w:val="00801279"/>
    <w:rsid w:val="008047B5"/>
    <w:rsid w:val="0080692A"/>
    <w:rsid w:val="00810A94"/>
    <w:rsid w:val="00817006"/>
    <w:rsid w:val="00820D1E"/>
    <w:rsid w:val="00821495"/>
    <w:rsid w:val="008223ED"/>
    <w:rsid w:val="008229B9"/>
    <w:rsid w:val="00822AB1"/>
    <w:rsid w:val="0082365B"/>
    <w:rsid w:val="008252C5"/>
    <w:rsid w:val="00825A4E"/>
    <w:rsid w:val="00830DEA"/>
    <w:rsid w:val="00831080"/>
    <w:rsid w:val="00832D8B"/>
    <w:rsid w:val="008353F2"/>
    <w:rsid w:val="008358BD"/>
    <w:rsid w:val="00835A6B"/>
    <w:rsid w:val="00836AB5"/>
    <w:rsid w:val="00840D94"/>
    <w:rsid w:val="00843B97"/>
    <w:rsid w:val="00846881"/>
    <w:rsid w:val="00846F2E"/>
    <w:rsid w:val="00850A62"/>
    <w:rsid w:val="00852051"/>
    <w:rsid w:val="008570E8"/>
    <w:rsid w:val="00863517"/>
    <w:rsid w:val="00864F6B"/>
    <w:rsid w:val="0086621A"/>
    <w:rsid w:val="00867110"/>
    <w:rsid w:val="008677F4"/>
    <w:rsid w:val="00870937"/>
    <w:rsid w:val="00870A6B"/>
    <w:rsid w:val="0087124A"/>
    <w:rsid w:val="008735F8"/>
    <w:rsid w:val="0087571B"/>
    <w:rsid w:val="00875D42"/>
    <w:rsid w:val="0089142B"/>
    <w:rsid w:val="00892830"/>
    <w:rsid w:val="008960AE"/>
    <w:rsid w:val="008A0B3F"/>
    <w:rsid w:val="008A2A76"/>
    <w:rsid w:val="008A391A"/>
    <w:rsid w:val="008A5FC9"/>
    <w:rsid w:val="008B163A"/>
    <w:rsid w:val="008B3DBC"/>
    <w:rsid w:val="008B3E1A"/>
    <w:rsid w:val="008B5F74"/>
    <w:rsid w:val="008B66AF"/>
    <w:rsid w:val="008C36F8"/>
    <w:rsid w:val="008C5E74"/>
    <w:rsid w:val="008C64C5"/>
    <w:rsid w:val="008D0102"/>
    <w:rsid w:val="008D04E8"/>
    <w:rsid w:val="008D0F17"/>
    <w:rsid w:val="008D13F0"/>
    <w:rsid w:val="008D2382"/>
    <w:rsid w:val="008D3448"/>
    <w:rsid w:val="008E020C"/>
    <w:rsid w:val="008E021C"/>
    <w:rsid w:val="008E0A15"/>
    <w:rsid w:val="008E47F4"/>
    <w:rsid w:val="008E7800"/>
    <w:rsid w:val="008E7E8A"/>
    <w:rsid w:val="008F31F3"/>
    <w:rsid w:val="008F50F3"/>
    <w:rsid w:val="008F62C2"/>
    <w:rsid w:val="008F6929"/>
    <w:rsid w:val="008F6F2F"/>
    <w:rsid w:val="009006EF"/>
    <w:rsid w:val="0090194A"/>
    <w:rsid w:val="00901E3E"/>
    <w:rsid w:val="00903081"/>
    <w:rsid w:val="009032F4"/>
    <w:rsid w:val="00903E28"/>
    <w:rsid w:val="0090661F"/>
    <w:rsid w:val="00906D0D"/>
    <w:rsid w:val="00907136"/>
    <w:rsid w:val="00907A78"/>
    <w:rsid w:val="0091266B"/>
    <w:rsid w:val="00916BCB"/>
    <w:rsid w:val="00921093"/>
    <w:rsid w:val="009221DB"/>
    <w:rsid w:val="009247DC"/>
    <w:rsid w:val="009312FE"/>
    <w:rsid w:val="009321BC"/>
    <w:rsid w:val="00932D5F"/>
    <w:rsid w:val="00933C9C"/>
    <w:rsid w:val="00933D70"/>
    <w:rsid w:val="00937C49"/>
    <w:rsid w:val="0094016C"/>
    <w:rsid w:val="00942F59"/>
    <w:rsid w:val="009451B3"/>
    <w:rsid w:val="009455DF"/>
    <w:rsid w:val="00950453"/>
    <w:rsid w:val="00951649"/>
    <w:rsid w:val="00951921"/>
    <w:rsid w:val="00953950"/>
    <w:rsid w:val="00955F69"/>
    <w:rsid w:val="00956EFB"/>
    <w:rsid w:val="0096107A"/>
    <w:rsid w:val="00966596"/>
    <w:rsid w:val="00966B0A"/>
    <w:rsid w:val="00966CC1"/>
    <w:rsid w:val="009716B1"/>
    <w:rsid w:val="0097295E"/>
    <w:rsid w:val="00973FF3"/>
    <w:rsid w:val="009773A5"/>
    <w:rsid w:val="00981DC2"/>
    <w:rsid w:val="00982F45"/>
    <w:rsid w:val="00982F89"/>
    <w:rsid w:val="00984393"/>
    <w:rsid w:val="00984791"/>
    <w:rsid w:val="0099087E"/>
    <w:rsid w:val="0099109D"/>
    <w:rsid w:val="00991891"/>
    <w:rsid w:val="00993273"/>
    <w:rsid w:val="0099533B"/>
    <w:rsid w:val="009A076C"/>
    <w:rsid w:val="009A168D"/>
    <w:rsid w:val="009A49C8"/>
    <w:rsid w:val="009B08B8"/>
    <w:rsid w:val="009B100D"/>
    <w:rsid w:val="009B1A13"/>
    <w:rsid w:val="009B1FF2"/>
    <w:rsid w:val="009B3FE8"/>
    <w:rsid w:val="009B41DC"/>
    <w:rsid w:val="009B57B9"/>
    <w:rsid w:val="009B61F0"/>
    <w:rsid w:val="009C0DDD"/>
    <w:rsid w:val="009C43AC"/>
    <w:rsid w:val="009D3A4E"/>
    <w:rsid w:val="009D420E"/>
    <w:rsid w:val="009D4D70"/>
    <w:rsid w:val="009D6174"/>
    <w:rsid w:val="009D6589"/>
    <w:rsid w:val="009D7CC0"/>
    <w:rsid w:val="009E22CC"/>
    <w:rsid w:val="009E22FC"/>
    <w:rsid w:val="009E351C"/>
    <w:rsid w:val="009E3719"/>
    <w:rsid w:val="009E3AF8"/>
    <w:rsid w:val="009E3BB5"/>
    <w:rsid w:val="009E3C7D"/>
    <w:rsid w:val="009F0EB5"/>
    <w:rsid w:val="009F53B3"/>
    <w:rsid w:val="009F5E89"/>
    <w:rsid w:val="009F6DF1"/>
    <w:rsid w:val="009F77DF"/>
    <w:rsid w:val="00A00877"/>
    <w:rsid w:val="00A00A7B"/>
    <w:rsid w:val="00A012A9"/>
    <w:rsid w:val="00A0247D"/>
    <w:rsid w:val="00A02A68"/>
    <w:rsid w:val="00A03B5A"/>
    <w:rsid w:val="00A05776"/>
    <w:rsid w:val="00A07CA9"/>
    <w:rsid w:val="00A108E1"/>
    <w:rsid w:val="00A10B22"/>
    <w:rsid w:val="00A11247"/>
    <w:rsid w:val="00A13290"/>
    <w:rsid w:val="00A147A3"/>
    <w:rsid w:val="00A15459"/>
    <w:rsid w:val="00A1611B"/>
    <w:rsid w:val="00A1673B"/>
    <w:rsid w:val="00A16A65"/>
    <w:rsid w:val="00A1783D"/>
    <w:rsid w:val="00A21383"/>
    <w:rsid w:val="00A22107"/>
    <w:rsid w:val="00A24775"/>
    <w:rsid w:val="00A26150"/>
    <w:rsid w:val="00A3028A"/>
    <w:rsid w:val="00A32A7B"/>
    <w:rsid w:val="00A37A87"/>
    <w:rsid w:val="00A40254"/>
    <w:rsid w:val="00A40418"/>
    <w:rsid w:val="00A41EB0"/>
    <w:rsid w:val="00A45194"/>
    <w:rsid w:val="00A4619D"/>
    <w:rsid w:val="00A5112F"/>
    <w:rsid w:val="00A52FEC"/>
    <w:rsid w:val="00A538FE"/>
    <w:rsid w:val="00A54511"/>
    <w:rsid w:val="00A54568"/>
    <w:rsid w:val="00A61060"/>
    <w:rsid w:val="00A6246D"/>
    <w:rsid w:val="00A640BB"/>
    <w:rsid w:val="00A6778F"/>
    <w:rsid w:val="00A71BA2"/>
    <w:rsid w:val="00A7208E"/>
    <w:rsid w:val="00A733E3"/>
    <w:rsid w:val="00A75549"/>
    <w:rsid w:val="00A86AA6"/>
    <w:rsid w:val="00A86FC3"/>
    <w:rsid w:val="00A870ED"/>
    <w:rsid w:val="00A87537"/>
    <w:rsid w:val="00A90060"/>
    <w:rsid w:val="00A9022B"/>
    <w:rsid w:val="00A929F7"/>
    <w:rsid w:val="00A95E96"/>
    <w:rsid w:val="00A962F7"/>
    <w:rsid w:val="00A96EAF"/>
    <w:rsid w:val="00AA065B"/>
    <w:rsid w:val="00AA4839"/>
    <w:rsid w:val="00AA6D2B"/>
    <w:rsid w:val="00AB3BE6"/>
    <w:rsid w:val="00AB5949"/>
    <w:rsid w:val="00AB6F64"/>
    <w:rsid w:val="00AC104A"/>
    <w:rsid w:val="00AC2523"/>
    <w:rsid w:val="00AC44B2"/>
    <w:rsid w:val="00AC52B2"/>
    <w:rsid w:val="00AC53EF"/>
    <w:rsid w:val="00AC64A0"/>
    <w:rsid w:val="00AD13AF"/>
    <w:rsid w:val="00AD15EF"/>
    <w:rsid w:val="00AD1FC4"/>
    <w:rsid w:val="00AD4B13"/>
    <w:rsid w:val="00AD7035"/>
    <w:rsid w:val="00AE1780"/>
    <w:rsid w:val="00AE3B5B"/>
    <w:rsid w:val="00AE4AFE"/>
    <w:rsid w:val="00AE5FD6"/>
    <w:rsid w:val="00AE6162"/>
    <w:rsid w:val="00AF0926"/>
    <w:rsid w:val="00AF1760"/>
    <w:rsid w:val="00AF50BF"/>
    <w:rsid w:val="00B00B43"/>
    <w:rsid w:val="00B00EC5"/>
    <w:rsid w:val="00B01C68"/>
    <w:rsid w:val="00B0212E"/>
    <w:rsid w:val="00B05B8C"/>
    <w:rsid w:val="00B07442"/>
    <w:rsid w:val="00B10B6A"/>
    <w:rsid w:val="00B12825"/>
    <w:rsid w:val="00B15E75"/>
    <w:rsid w:val="00B163C4"/>
    <w:rsid w:val="00B213A3"/>
    <w:rsid w:val="00B21437"/>
    <w:rsid w:val="00B22EAB"/>
    <w:rsid w:val="00B25943"/>
    <w:rsid w:val="00B25FFF"/>
    <w:rsid w:val="00B268A4"/>
    <w:rsid w:val="00B27BD2"/>
    <w:rsid w:val="00B31488"/>
    <w:rsid w:val="00B320BB"/>
    <w:rsid w:val="00B3365D"/>
    <w:rsid w:val="00B34F2B"/>
    <w:rsid w:val="00B35419"/>
    <w:rsid w:val="00B35A36"/>
    <w:rsid w:val="00B418F4"/>
    <w:rsid w:val="00B4263E"/>
    <w:rsid w:val="00B42D78"/>
    <w:rsid w:val="00B43F88"/>
    <w:rsid w:val="00B45DC8"/>
    <w:rsid w:val="00B50A65"/>
    <w:rsid w:val="00B51755"/>
    <w:rsid w:val="00B5272E"/>
    <w:rsid w:val="00B53CD2"/>
    <w:rsid w:val="00B53FC1"/>
    <w:rsid w:val="00B5740B"/>
    <w:rsid w:val="00B6025F"/>
    <w:rsid w:val="00B60287"/>
    <w:rsid w:val="00B649C2"/>
    <w:rsid w:val="00B66014"/>
    <w:rsid w:val="00B675C1"/>
    <w:rsid w:val="00B72406"/>
    <w:rsid w:val="00B76CCE"/>
    <w:rsid w:val="00B76E90"/>
    <w:rsid w:val="00B771C5"/>
    <w:rsid w:val="00B77A27"/>
    <w:rsid w:val="00B77CA3"/>
    <w:rsid w:val="00B80BA7"/>
    <w:rsid w:val="00B82AA1"/>
    <w:rsid w:val="00B8379F"/>
    <w:rsid w:val="00B90680"/>
    <w:rsid w:val="00B91125"/>
    <w:rsid w:val="00B92064"/>
    <w:rsid w:val="00B9214E"/>
    <w:rsid w:val="00B92F9E"/>
    <w:rsid w:val="00B94024"/>
    <w:rsid w:val="00B94C11"/>
    <w:rsid w:val="00B967AC"/>
    <w:rsid w:val="00B96E67"/>
    <w:rsid w:val="00B97B68"/>
    <w:rsid w:val="00BA0671"/>
    <w:rsid w:val="00BA114D"/>
    <w:rsid w:val="00BA5B7E"/>
    <w:rsid w:val="00BA69EC"/>
    <w:rsid w:val="00BB0BC5"/>
    <w:rsid w:val="00BB2BE8"/>
    <w:rsid w:val="00BB30B1"/>
    <w:rsid w:val="00BB59BA"/>
    <w:rsid w:val="00BB7836"/>
    <w:rsid w:val="00BC225A"/>
    <w:rsid w:val="00BC2ED0"/>
    <w:rsid w:val="00BC320B"/>
    <w:rsid w:val="00BC36AB"/>
    <w:rsid w:val="00BC3FD5"/>
    <w:rsid w:val="00BC4049"/>
    <w:rsid w:val="00BC6456"/>
    <w:rsid w:val="00BC6681"/>
    <w:rsid w:val="00BC67CE"/>
    <w:rsid w:val="00BC6B1C"/>
    <w:rsid w:val="00BD3E52"/>
    <w:rsid w:val="00BD5F76"/>
    <w:rsid w:val="00BE5BF2"/>
    <w:rsid w:val="00BE6AA7"/>
    <w:rsid w:val="00BF09F6"/>
    <w:rsid w:val="00BF1930"/>
    <w:rsid w:val="00BF21F5"/>
    <w:rsid w:val="00BF2ADA"/>
    <w:rsid w:val="00BF3208"/>
    <w:rsid w:val="00BF427C"/>
    <w:rsid w:val="00BF4E93"/>
    <w:rsid w:val="00BF67AB"/>
    <w:rsid w:val="00BF7D52"/>
    <w:rsid w:val="00C00907"/>
    <w:rsid w:val="00C023DB"/>
    <w:rsid w:val="00C025D9"/>
    <w:rsid w:val="00C0295F"/>
    <w:rsid w:val="00C05EDC"/>
    <w:rsid w:val="00C07930"/>
    <w:rsid w:val="00C07C87"/>
    <w:rsid w:val="00C10E58"/>
    <w:rsid w:val="00C1195C"/>
    <w:rsid w:val="00C1424A"/>
    <w:rsid w:val="00C21CC2"/>
    <w:rsid w:val="00C24526"/>
    <w:rsid w:val="00C251A7"/>
    <w:rsid w:val="00C27292"/>
    <w:rsid w:val="00C27922"/>
    <w:rsid w:val="00C32842"/>
    <w:rsid w:val="00C32BCF"/>
    <w:rsid w:val="00C32C33"/>
    <w:rsid w:val="00C44F6B"/>
    <w:rsid w:val="00C47A25"/>
    <w:rsid w:val="00C520D9"/>
    <w:rsid w:val="00C61A09"/>
    <w:rsid w:val="00C61F3E"/>
    <w:rsid w:val="00C63F7C"/>
    <w:rsid w:val="00C643FB"/>
    <w:rsid w:val="00C65A1F"/>
    <w:rsid w:val="00C66CE4"/>
    <w:rsid w:val="00C6783C"/>
    <w:rsid w:val="00C710C4"/>
    <w:rsid w:val="00C73A2B"/>
    <w:rsid w:val="00C81A18"/>
    <w:rsid w:val="00C81D35"/>
    <w:rsid w:val="00C8484E"/>
    <w:rsid w:val="00C851DC"/>
    <w:rsid w:val="00C86686"/>
    <w:rsid w:val="00C87453"/>
    <w:rsid w:val="00C97A08"/>
    <w:rsid w:val="00CA150D"/>
    <w:rsid w:val="00CA2266"/>
    <w:rsid w:val="00CA717E"/>
    <w:rsid w:val="00CB3D76"/>
    <w:rsid w:val="00CB4ED5"/>
    <w:rsid w:val="00CB5757"/>
    <w:rsid w:val="00CB601F"/>
    <w:rsid w:val="00CC0708"/>
    <w:rsid w:val="00CC60B7"/>
    <w:rsid w:val="00CC7AAF"/>
    <w:rsid w:val="00CC7B01"/>
    <w:rsid w:val="00CD03CB"/>
    <w:rsid w:val="00CD08D8"/>
    <w:rsid w:val="00CD1FA6"/>
    <w:rsid w:val="00CD29D8"/>
    <w:rsid w:val="00CD3D4A"/>
    <w:rsid w:val="00CD585D"/>
    <w:rsid w:val="00CE0AC3"/>
    <w:rsid w:val="00CE1108"/>
    <w:rsid w:val="00CE59EA"/>
    <w:rsid w:val="00CE5D2B"/>
    <w:rsid w:val="00CE746A"/>
    <w:rsid w:val="00CE7A5E"/>
    <w:rsid w:val="00CF1135"/>
    <w:rsid w:val="00CF28AB"/>
    <w:rsid w:val="00CF47F4"/>
    <w:rsid w:val="00CF5584"/>
    <w:rsid w:val="00CF5B40"/>
    <w:rsid w:val="00CF6327"/>
    <w:rsid w:val="00CF640F"/>
    <w:rsid w:val="00CF779E"/>
    <w:rsid w:val="00CF7BE0"/>
    <w:rsid w:val="00D012A9"/>
    <w:rsid w:val="00D035A9"/>
    <w:rsid w:val="00D05A93"/>
    <w:rsid w:val="00D11233"/>
    <w:rsid w:val="00D11F6F"/>
    <w:rsid w:val="00D12994"/>
    <w:rsid w:val="00D14A9D"/>
    <w:rsid w:val="00D14D48"/>
    <w:rsid w:val="00D156B1"/>
    <w:rsid w:val="00D17693"/>
    <w:rsid w:val="00D1793D"/>
    <w:rsid w:val="00D263EB"/>
    <w:rsid w:val="00D279B3"/>
    <w:rsid w:val="00D31782"/>
    <w:rsid w:val="00D32439"/>
    <w:rsid w:val="00D32767"/>
    <w:rsid w:val="00D328CB"/>
    <w:rsid w:val="00D331E7"/>
    <w:rsid w:val="00D33540"/>
    <w:rsid w:val="00D34482"/>
    <w:rsid w:val="00D3495F"/>
    <w:rsid w:val="00D34B42"/>
    <w:rsid w:val="00D3543F"/>
    <w:rsid w:val="00D36D15"/>
    <w:rsid w:val="00D40820"/>
    <w:rsid w:val="00D41C88"/>
    <w:rsid w:val="00D4228D"/>
    <w:rsid w:val="00D43276"/>
    <w:rsid w:val="00D45059"/>
    <w:rsid w:val="00D510C6"/>
    <w:rsid w:val="00D5239D"/>
    <w:rsid w:val="00D5375D"/>
    <w:rsid w:val="00D53BBC"/>
    <w:rsid w:val="00D53CBE"/>
    <w:rsid w:val="00D547D2"/>
    <w:rsid w:val="00D54E34"/>
    <w:rsid w:val="00D560DA"/>
    <w:rsid w:val="00D56FCB"/>
    <w:rsid w:val="00D60728"/>
    <w:rsid w:val="00D61BD7"/>
    <w:rsid w:val="00D63870"/>
    <w:rsid w:val="00D6445C"/>
    <w:rsid w:val="00D644DE"/>
    <w:rsid w:val="00D651DA"/>
    <w:rsid w:val="00D658D9"/>
    <w:rsid w:val="00D66CD4"/>
    <w:rsid w:val="00D67BDE"/>
    <w:rsid w:val="00D75D78"/>
    <w:rsid w:val="00D82E79"/>
    <w:rsid w:val="00D82FFF"/>
    <w:rsid w:val="00D85AE8"/>
    <w:rsid w:val="00D85B99"/>
    <w:rsid w:val="00D86A4D"/>
    <w:rsid w:val="00D9018A"/>
    <w:rsid w:val="00D903D3"/>
    <w:rsid w:val="00D934D2"/>
    <w:rsid w:val="00D95C36"/>
    <w:rsid w:val="00D97DBC"/>
    <w:rsid w:val="00DA0843"/>
    <w:rsid w:val="00DA0F52"/>
    <w:rsid w:val="00DA2C31"/>
    <w:rsid w:val="00DA35D4"/>
    <w:rsid w:val="00DA3A58"/>
    <w:rsid w:val="00DA59BF"/>
    <w:rsid w:val="00DA6233"/>
    <w:rsid w:val="00DA7440"/>
    <w:rsid w:val="00DA793E"/>
    <w:rsid w:val="00DB054F"/>
    <w:rsid w:val="00DB2DD3"/>
    <w:rsid w:val="00DB33B6"/>
    <w:rsid w:val="00DB4B76"/>
    <w:rsid w:val="00DC4A20"/>
    <w:rsid w:val="00DC6390"/>
    <w:rsid w:val="00DC6413"/>
    <w:rsid w:val="00DC693C"/>
    <w:rsid w:val="00DD24F7"/>
    <w:rsid w:val="00DD2C63"/>
    <w:rsid w:val="00DD4B13"/>
    <w:rsid w:val="00DD6964"/>
    <w:rsid w:val="00DE0AAA"/>
    <w:rsid w:val="00DE168C"/>
    <w:rsid w:val="00DE2108"/>
    <w:rsid w:val="00DF0038"/>
    <w:rsid w:val="00DF0911"/>
    <w:rsid w:val="00DF1975"/>
    <w:rsid w:val="00DF2245"/>
    <w:rsid w:val="00DF224D"/>
    <w:rsid w:val="00DF52EC"/>
    <w:rsid w:val="00DF5608"/>
    <w:rsid w:val="00DF575F"/>
    <w:rsid w:val="00DF7AF9"/>
    <w:rsid w:val="00E0009D"/>
    <w:rsid w:val="00E04EE6"/>
    <w:rsid w:val="00E0615C"/>
    <w:rsid w:val="00E06DE4"/>
    <w:rsid w:val="00E10F7B"/>
    <w:rsid w:val="00E1142B"/>
    <w:rsid w:val="00E1358D"/>
    <w:rsid w:val="00E140CD"/>
    <w:rsid w:val="00E25048"/>
    <w:rsid w:val="00E2527F"/>
    <w:rsid w:val="00E25F23"/>
    <w:rsid w:val="00E26658"/>
    <w:rsid w:val="00E3117D"/>
    <w:rsid w:val="00E320B8"/>
    <w:rsid w:val="00E338C7"/>
    <w:rsid w:val="00E35E05"/>
    <w:rsid w:val="00E41BAC"/>
    <w:rsid w:val="00E42431"/>
    <w:rsid w:val="00E472B8"/>
    <w:rsid w:val="00E50242"/>
    <w:rsid w:val="00E51600"/>
    <w:rsid w:val="00E53176"/>
    <w:rsid w:val="00E5344E"/>
    <w:rsid w:val="00E53F0F"/>
    <w:rsid w:val="00E549CA"/>
    <w:rsid w:val="00E54E72"/>
    <w:rsid w:val="00E55420"/>
    <w:rsid w:val="00E57049"/>
    <w:rsid w:val="00E57FA1"/>
    <w:rsid w:val="00E57FFD"/>
    <w:rsid w:val="00E62125"/>
    <w:rsid w:val="00E622D7"/>
    <w:rsid w:val="00E6570C"/>
    <w:rsid w:val="00E65E8C"/>
    <w:rsid w:val="00E67919"/>
    <w:rsid w:val="00E7141F"/>
    <w:rsid w:val="00E755D6"/>
    <w:rsid w:val="00E75EFD"/>
    <w:rsid w:val="00E769D1"/>
    <w:rsid w:val="00E81FBC"/>
    <w:rsid w:val="00E83C4C"/>
    <w:rsid w:val="00E85313"/>
    <w:rsid w:val="00E853A4"/>
    <w:rsid w:val="00E855C2"/>
    <w:rsid w:val="00E86F19"/>
    <w:rsid w:val="00E8773F"/>
    <w:rsid w:val="00E8774F"/>
    <w:rsid w:val="00E87911"/>
    <w:rsid w:val="00E924E9"/>
    <w:rsid w:val="00E92B4F"/>
    <w:rsid w:val="00E938A7"/>
    <w:rsid w:val="00E94688"/>
    <w:rsid w:val="00E94E95"/>
    <w:rsid w:val="00E962BE"/>
    <w:rsid w:val="00EA2D7A"/>
    <w:rsid w:val="00EA37A8"/>
    <w:rsid w:val="00EA4191"/>
    <w:rsid w:val="00EA6679"/>
    <w:rsid w:val="00EA714D"/>
    <w:rsid w:val="00EB24C0"/>
    <w:rsid w:val="00EB47A8"/>
    <w:rsid w:val="00EB4D16"/>
    <w:rsid w:val="00EB5116"/>
    <w:rsid w:val="00EB5A14"/>
    <w:rsid w:val="00EC0B74"/>
    <w:rsid w:val="00EC10F3"/>
    <w:rsid w:val="00EC3217"/>
    <w:rsid w:val="00EC3CCF"/>
    <w:rsid w:val="00EC663B"/>
    <w:rsid w:val="00EC6C38"/>
    <w:rsid w:val="00EC74FA"/>
    <w:rsid w:val="00ED04EF"/>
    <w:rsid w:val="00ED0767"/>
    <w:rsid w:val="00ED75BD"/>
    <w:rsid w:val="00EE0F83"/>
    <w:rsid w:val="00EE3B53"/>
    <w:rsid w:val="00EE3F58"/>
    <w:rsid w:val="00EE46F1"/>
    <w:rsid w:val="00EE6299"/>
    <w:rsid w:val="00EE655F"/>
    <w:rsid w:val="00EE7950"/>
    <w:rsid w:val="00EF0219"/>
    <w:rsid w:val="00EF13A4"/>
    <w:rsid w:val="00EF1CD9"/>
    <w:rsid w:val="00EF3E3F"/>
    <w:rsid w:val="00EF5822"/>
    <w:rsid w:val="00F00711"/>
    <w:rsid w:val="00F014DB"/>
    <w:rsid w:val="00F0365A"/>
    <w:rsid w:val="00F04340"/>
    <w:rsid w:val="00F05177"/>
    <w:rsid w:val="00F060FD"/>
    <w:rsid w:val="00F06891"/>
    <w:rsid w:val="00F07A87"/>
    <w:rsid w:val="00F140AC"/>
    <w:rsid w:val="00F178C3"/>
    <w:rsid w:val="00F201AD"/>
    <w:rsid w:val="00F2086B"/>
    <w:rsid w:val="00F21236"/>
    <w:rsid w:val="00F2162C"/>
    <w:rsid w:val="00F262B6"/>
    <w:rsid w:val="00F26650"/>
    <w:rsid w:val="00F26F0D"/>
    <w:rsid w:val="00F2769C"/>
    <w:rsid w:val="00F27E96"/>
    <w:rsid w:val="00F316C0"/>
    <w:rsid w:val="00F34862"/>
    <w:rsid w:val="00F3489E"/>
    <w:rsid w:val="00F35973"/>
    <w:rsid w:val="00F4142E"/>
    <w:rsid w:val="00F448C7"/>
    <w:rsid w:val="00F461DC"/>
    <w:rsid w:val="00F47507"/>
    <w:rsid w:val="00F51385"/>
    <w:rsid w:val="00F54211"/>
    <w:rsid w:val="00F54AF4"/>
    <w:rsid w:val="00F5543D"/>
    <w:rsid w:val="00F56738"/>
    <w:rsid w:val="00F57E1C"/>
    <w:rsid w:val="00F60160"/>
    <w:rsid w:val="00F60369"/>
    <w:rsid w:val="00F612E5"/>
    <w:rsid w:val="00F61687"/>
    <w:rsid w:val="00F61C64"/>
    <w:rsid w:val="00F6232A"/>
    <w:rsid w:val="00F65B96"/>
    <w:rsid w:val="00F675F8"/>
    <w:rsid w:val="00F702CB"/>
    <w:rsid w:val="00F75E0F"/>
    <w:rsid w:val="00F75E98"/>
    <w:rsid w:val="00F80E75"/>
    <w:rsid w:val="00F835FE"/>
    <w:rsid w:val="00F859D3"/>
    <w:rsid w:val="00F9070D"/>
    <w:rsid w:val="00F93CD2"/>
    <w:rsid w:val="00F95DAB"/>
    <w:rsid w:val="00F977EF"/>
    <w:rsid w:val="00FA2895"/>
    <w:rsid w:val="00FA6834"/>
    <w:rsid w:val="00FA6C3E"/>
    <w:rsid w:val="00FB0CB0"/>
    <w:rsid w:val="00FB0F5D"/>
    <w:rsid w:val="00FB7351"/>
    <w:rsid w:val="00FB7639"/>
    <w:rsid w:val="00FB7FDD"/>
    <w:rsid w:val="00FC0872"/>
    <w:rsid w:val="00FC0A02"/>
    <w:rsid w:val="00FC13FF"/>
    <w:rsid w:val="00FC1664"/>
    <w:rsid w:val="00FC5FD3"/>
    <w:rsid w:val="00FD477C"/>
    <w:rsid w:val="00FD61F1"/>
    <w:rsid w:val="00FE0F07"/>
    <w:rsid w:val="00FE0F59"/>
    <w:rsid w:val="00FE1F04"/>
    <w:rsid w:val="00FE6295"/>
    <w:rsid w:val="00FE62D6"/>
    <w:rsid w:val="00FE7768"/>
    <w:rsid w:val="00FF20E7"/>
    <w:rsid w:val="00FF3AD0"/>
    <w:rsid w:val="00FF6B68"/>
    <w:rsid w:val="00FF72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E8ACA"/>
  <w15:docId w15:val="{E56A9BED-A3A5-45F5-8CE6-85C9EB7A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C2760"/>
    <w:rPr>
      <w:b/>
      <w:sz w:val="28"/>
      <w:szCs w:val="28"/>
    </w:rPr>
  </w:style>
  <w:style w:type="paragraph" w:customStyle="1" w:styleId="Style2">
    <w:name w:val="Style2"/>
    <w:basedOn w:val="Normal"/>
    <w:link w:val="Style2Char"/>
    <w:qFormat/>
    <w:rsid w:val="007C2760"/>
    <w:rPr>
      <w:b/>
    </w:rPr>
  </w:style>
  <w:style w:type="character" w:customStyle="1" w:styleId="Style1Char">
    <w:name w:val="Style1 Char"/>
    <w:basedOn w:val="DefaultParagraphFont"/>
    <w:link w:val="Style1"/>
    <w:rsid w:val="007C2760"/>
    <w:rPr>
      <w:b/>
      <w:sz w:val="28"/>
      <w:szCs w:val="28"/>
    </w:rPr>
  </w:style>
  <w:style w:type="paragraph" w:customStyle="1" w:styleId="Style3">
    <w:name w:val="Style3"/>
    <w:basedOn w:val="Normal"/>
    <w:link w:val="Style3Char"/>
    <w:qFormat/>
    <w:rsid w:val="007C2760"/>
    <w:rPr>
      <w:i/>
    </w:rPr>
  </w:style>
  <w:style w:type="character" w:customStyle="1" w:styleId="Style2Char">
    <w:name w:val="Style2 Char"/>
    <w:basedOn w:val="DefaultParagraphFont"/>
    <w:link w:val="Style2"/>
    <w:rsid w:val="007C2760"/>
    <w:rPr>
      <w:b/>
    </w:rPr>
  </w:style>
  <w:style w:type="character" w:customStyle="1" w:styleId="Style3Char">
    <w:name w:val="Style3 Char"/>
    <w:basedOn w:val="DefaultParagraphFont"/>
    <w:link w:val="Style3"/>
    <w:rsid w:val="007C2760"/>
    <w:rPr>
      <w:i/>
    </w:rPr>
  </w:style>
  <w:style w:type="table" w:styleId="TableGrid">
    <w:name w:val="Table Grid"/>
    <w:basedOn w:val="TableNormal"/>
    <w:uiPriority w:val="59"/>
    <w:rsid w:val="00D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D78"/>
    <w:pPr>
      <w:ind w:left="720"/>
      <w:contextualSpacing/>
    </w:pPr>
  </w:style>
  <w:style w:type="character" w:styleId="Hyperlink">
    <w:name w:val="Hyperlink"/>
    <w:basedOn w:val="DefaultParagraphFont"/>
    <w:uiPriority w:val="99"/>
    <w:unhideWhenUsed/>
    <w:rsid w:val="007900F5"/>
    <w:rPr>
      <w:color w:val="0000FF" w:themeColor="hyperlink"/>
      <w:u w:val="single"/>
    </w:rPr>
  </w:style>
  <w:style w:type="character" w:styleId="CommentReference">
    <w:name w:val="annotation reference"/>
    <w:basedOn w:val="DefaultParagraphFont"/>
    <w:uiPriority w:val="99"/>
    <w:semiHidden/>
    <w:unhideWhenUsed/>
    <w:rsid w:val="00386DD3"/>
    <w:rPr>
      <w:sz w:val="16"/>
      <w:szCs w:val="16"/>
    </w:rPr>
  </w:style>
  <w:style w:type="paragraph" w:styleId="CommentText">
    <w:name w:val="annotation text"/>
    <w:basedOn w:val="Normal"/>
    <w:link w:val="CommentTextChar"/>
    <w:uiPriority w:val="99"/>
    <w:unhideWhenUsed/>
    <w:rsid w:val="00386DD3"/>
    <w:pPr>
      <w:spacing w:line="240" w:lineRule="auto"/>
    </w:pPr>
    <w:rPr>
      <w:sz w:val="20"/>
      <w:szCs w:val="20"/>
    </w:rPr>
  </w:style>
  <w:style w:type="character" w:customStyle="1" w:styleId="CommentTextChar">
    <w:name w:val="Comment Text Char"/>
    <w:basedOn w:val="DefaultParagraphFont"/>
    <w:link w:val="CommentText"/>
    <w:uiPriority w:val="99"/>
    <w:rsid w:val="00386DD3"/>
    <w:rPr>
      <w:sz w:val="20"/>
      <w:szCs w:val="20"/>
    </w:rPr>
  </w:style>
  <w:style w:type="paragraph" w:styleId="CommentSubject">
    <w:name w:val="annotation subject"/>
    <w:basedOn w:val="CommentText"/>
    <w:next w:val="CommentText"/>
    <w:link w:val="CommentSubjectChar"/>
    <w:uiPriority w:val="99"/>
    <w:semiHidden/>
    <w:unhideWhenUsed/>
    <w:rsid w:val="00386DD3"/>
    <w:rPr>
      <w:b/>
      <w:bCs/>
    </w:rPr>
  </w:style>
  <w:style w:type="character" w:customStyle="1" w:styleId="CommentSubjectChar">
    <w:name w:val="Comment Subject Char"/>
    <w:basedOn w:val="CommentTextChar"/>
    <w:link w:val="CommentSubject"/>
    <w:uiPriority w:val="99"/>
    <w:semiHidden/>
    <w:rsid w:val="00386DD3"/>
    <w:rPr>
      <w:b/>
      <w:bCs/>
      <w:sz w:val="20"/>
      <w:szCs w:val="20"/>
    </w:rPr>
  </w:style>
  <w:style w:type="paragraph" w:styleId="BalloonText">
    <w:name w:val="Balloon Text"/>
    <w:basedOn w:val="Normal"/>
    <w:link w:val="BalloonTextChar"/>
    <w:uiPriority w:val="99"/>
    <w:semiHidden/>
    <w:unhideWhenUsed/>
    <w:rsid w:val="00386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D3"/>
    <w:rPr>
      <w:rFonts w:ascii="Tahoma" w:hAnsi="Tahoma" w:cs="Tahoma"/>
      <w:sz w:val="16"/>
      <w:szCs w:val="16"/>
    </w:rPr>
  </w:style>
  <w:style w:type="character" w:styleId="FollowedHyperlink">
    <w:name w:val="FollowedHyperlink"/>
    <w:basedOn w:val="DefaultParagraphFont"/>
    <w:uiPriority w:val="99"/>
    <w:semiHidden/>
    <w:unhideWhenUsed/>
    <w:rsid w:val="00A21383"/>
    <w:rPr>
      <w:color w:val="800080" w:themeColor="followedHyperlink"/>
      <w:u w:val="single"/>
    </w:rPr>
  </w:style>
  <w:style w:type="character" w:styleId="PlaceholderText">
    <w:name w:val="Placeholder Text"/>
    <w:basedOn w:val="DefaultParagraphFont"/>
    <w:uiPriority w:val="99"/>
    <w:semiHidden/>
    <w:rsid w:val="004272DB"/>
    <w:rPr>
      <w:color w:val="808080"/>
    </w:rPr>
  </w:style>
  <w:style w:type="table" w:customStyle="1" w:styleId="TableGrid1">
    <w:name w:val="Table Grid1"/>
    <w:basedOn w:val="TableNormal"/>
    <w:next w:val="TableGrid"/>
    <w:uiPriority w:val="59"/>
    <w:rsid w:val="00C2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0F2"/>
  </w:style>
  <w:style w:type="paragraph" w:styleId="Footer">
    <w:name w:val="footer"/>
    <w:basedOn w:val="Normal"/>
    <w:link w:val="FooterChar"/>
    <w:uiPriority w:val="99"/>
    <w:unhideWhenUsed/>
    <w:rsid w:val="00081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0F2"/>
  </w:style>
  <w:style w:type="paragraph" w:customStyle="1" w:styleId="EndNoteBibliographyTitle">
    <w:name w:val="EndNote Bibliography Title"/>
    <w:basedOn w:val="Normal"/>
    <w:link w:val="EndNoteBibliographyTitleChar"/>
    <w:rsid w:val="00217D5D"/>
    <w:pPr>
      <w:spacing w:after="0"/>
      <w:jc w:val="center"/>
    </w:pPr>
    <w:rPr>
      <w:rFonts w:ascii="Calibri" w:hAnsi="Calibri"/>
      <w:noProof/>
      <w:sz w:val="28"/>
      <w:lang w:val="en-US"/>
    </w:rPr>
  </w:style>
  <w:style w:type="character" w:customStyle="1" w:styleId="EndNoteBibliographyTitleChar">
    <w:name w:val="EndNote Bibliography Title Char"/>
    <w:basedOn w:val="Style1Char"/>
    <w:link w:val="EndNoteBibliographyTitle"/>
    <w:rsid w:val="00217D5D"/>
    <w:rPr>
      <w:rFonts w:ascii="Calibri" w:hAnsi="Calibri"/>
      <w:b w:val="0"/>
      <w:noProof/>
      <w:sz w:val="28"/>
      <w:szCs w:val="28"/>
      <w:lang w:val="en-US"/>
    </w:rPr>
  </w:style>
  <w:style w:type="paragraph" w:customStyle="1" w:styleId="EndNoteBibliography">
    <w:name w:val="EndNote Bibliography"/>
    <w:basedOn w:val="Normal"/>
    <w:link w:val="EndNoteBibliographyChar"/>
    <w:rsid w:val="00217D5D"/>
    <w:pPr>
      <w:spacing w:line="240" w:lineRule="auto"/>
      <w:jc w:val="both"/>
    </w:pPr>
    <w:rPr>
      <w:rFonts w:ascii="Calibri" w:hAnsi="Calibri"/>
      <w:noProof/>
      <w:sz w:val="28"/>
      <w:lang w:val="en-US"/>
    </w:rPr>
  </w:style>
  <w:style w:type="character" w:customStyle="1" w:styleId="EndNoteBibliographyChar">
    <w:name w:val="EndNote Bibliography Char"/>
    <w:basedOn w:val="Style1Char"/>
    <w:link w:val="EndNoteBibliography"/>
    <w:rsid w:val="00217D5D"/>
    <w:rPr>
      <w:rFonts w:ascii="Calibri" w:hAnsi="Calibri"/>
      <w:b w:val="0"/>
      <w:noProof/>
      <w:sz w:val="28"/>
      <w:szCs w:val="28"/>
      <w:lang w:val="en-US"/>
    </w:rPr>
  </w:style>
  <w:style w:type="paragraph" w:styleId="Revision">
    <w:name w:val="Revision"/>
    <w:hidden/>
    <w:uiPriority w:val="99"/>
    <w:semiHidden/>
    <w:rsid w:val="00A95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076">
      <w:bodyDiv w:val="1"/>
      <w:marLeft w:val="0"/>
      <w:marRight w:val="0"/>
      <w:marTop w:val="0"/>
      <w:marBottom w:val="0"/>
      <w:divBdr>
        <w:top w:val="none" w:sz="0" w:space="0" w:color="auto"/>
        <w:left w:val="none" w:sz="0" w:space="0" w:color="auto"/>
        <w:bottom w:val="none" w:sz="0" w:space="0" w:color="auto"/>
        <w:right w:val="none" w:sz="0" w:space="0" w:color="auto"/>
      </w:divBdr>
    </w:div>
    <w:div w:id="28379814">
      <w:bodyDiv w:val="1"/>
      <w:marLeft w:val="0"/>
      <w:marRight w:val="0"/>
      <w:marTop w:val="0"/>
      <w:marBottom w:val="0"/>
      <w:divBdr>
        <w:top w:val="none" w:sz="0" w:space="0" w:color="auto"/>
        <w:left w:val="none" w:sz="0" w:space="0" w:color="auto"/>
        <w:bottom w:val="none" w:sz="0" w:space="0" w:color="auto"/>
        <w:right w:val="none" w:sz="0" w:space="0" w:color="auto"/>
      </w:divBdr>
    </w:div>
    <w:div w:id="47918760">
      <w:bodyDiv w:val="1"/>
      <w:marLeft w:val="0"/>
      <w:marRight w:val="0"/>
      <w:marTop w:val="0"/>
      <w:marBottom w:val="0"/>
      <w:divBdr>
        <w:top w:val="none" w:sz="0" w:space="0" w:color="auto"/>
        <w:left w:val="none" w:sz="0" w:space="0" w:color="auto"/>
        <w:bottom w:val="none" w:sz="0" w:space="0" w:color="auto"/>
        <w:right w:val="none" w:sz="0" w:space="0" w:color="auto"/>
      </w:divBdr>
    </w:div>
    <w:div w:id="67776966">
      <w:bodyDiv w:val="1"/>
      <w:marLeft w:val="0"/>
      <w:marRight w:val="0"/>
      <w:marTop w:val="0"/>
      <w:marBottom w:val="0"/>
      <w:divBdr>
        <w:top w:val="none" w:sz="0" w:space="0" w:color="auto"/>
        <w:left w:val="none" w:sz="0" w:space="0" w:color="auto"/>
        <w:bottom w:val="none" w:sz="0" w:space="0" w:color="auto"/>
        <w:right w:val="none" w:sz="0" w:space="0" w:color="auto"/>
      </w:divBdr>
    </w:div>
    <w:div w:id="77409578">
      <w:bodyDiv w:val="1"/>
      <w:marLeft w:val="0"/>
      <w:marRight w:val="0"/>
      <w:marTop w:val="0"/>
      <w:marBottom w:val="0"/>
      <w:divBdr>
        <w:top w:val="none" w:sz="0" w:space="0" w:color="auto"/>
        <w:left w:val="none" w:sz="0" w:space="0" w:color="auto"/>
        <w:bottom w:val="none" w:sz="0" w:space="0" w:color="auto"/>
        <w:right w:val="none" w:sz="0" w:space="0" w:color="auto"/>
      </w:divBdr>
    </w:div>
    <w:div w:id="112405350">
      <w:bodyDiv w:val="1"/>
      <w:marLeft w:val="0"/>
      <w:marRight w:val="0"/>
      <w:marTop w:val="0"/>
      <w:marBottom w:val="0"/>
      <w:divBdr>
        <w:top w:val="none" w:sz="0" w:space="0" w:color="auto"/>
        <w:left w:val="none" w:sz="0" w:space="0" w:color="auto"/>
        <w:bottom w:val="none" w:sz="0" w:space="0" w:color="auto"/>
        <w:right w:val="none" w:sz="0" w:space="0" w:color="auto"/>
      </w:divBdr>
    </w:div>
    <w:div w:id="118913522">
      <w:bodyDiv w:val="1"/>
      <w:marLeft w:val="0"/>
      <w:marRight w:val="0"/>
      <w:marTop w:val="0"/>
      <w:marBottom w:val="0"/>
      <w:divBdr>
        <w:top w:val="none" w:sz="0" w:space="0" w:color="auto"/>
        <w:left w:val="none" w:sz="0" w:space="0" w:color="auto"/>
        <w:bottom w:val="none" w:sz="0" w:space="0" w:color="auto"/>
        <w:right w:val="none" w:sz="0" w:space="0" w:color="auto"/>
      </w:divBdr>
    </w:div>
    <w:div w:id="160701607">
      <w:bodyDiv w:val="1"/>
      <w:marLeft w:val="0"/>
      <w:marRight w:val="0"/>
      <w:marTop w:val="0"/>
      <w:marBottom w:val="0"/>
      <w:divBdr>
        <w:top w:val="none" w:sz="0" w:space="0" w:color="auto"/>
        <w:left w:val="none" w:sz="0" w:space="0" w:color="auto"/>
        <w:bottom w:val="none" w:sz="0" w:space="0" w:color="auto"/>
        <w:right w:val="none" w:sz="0" w:space="0" w:color="auto"/>
      </w:divBdr>
    </w:div>
    <w:div w:id="167140724">
      <w:bodyDiv w:val="1"/>
      <w:marLeft w:val="0"/>
      <w:marRight w:val="0"/>
      <w:marTop w:val="0"/>
      <w:marBottom w:val="0"/>
      <w:divBdr>
        <w:top w:val="none" w:sz="0" w:space="0" w:color="auto"/>
        <w:left w:val="none" w:sz="0" w:space="0" w:color="auto"/>
        <w:bottom w:val="none" w:sz="0" w:space="0" w:color="auto"/>
        <w:right w:val="none" w:sz="0" w:space="0" w:color="auto"/>
      </w:divBdr>
    </w:div>
    <w:div w:id="188420944">
      <w:bodyDiv w:val="1"/>
      <w:marLeft w:val="0"/>
      <w:marRight w:val="0"/>
      <w:marTop w:val="0"/>
      <w:marBottom w:val="0"/>
      <w:divBdr>
        <w:top w:val="none" w:sz="0" w:space="0" w:color="auto"/>
        <w:left w:val="none" w:sz="0" w:space="0" w:color="auto"/>
        <w:bottom w:val="none" w:sz="0" w:space="0" w:color="auto"/>
        <w:right w:val="none" w:sz="0" w:space="0" w:color="auto"/>
      </w:divBdr>
    </w:div>
    <w:div w:id="192888756">
      <w:bodyDiv w:val="1"/>
      <w:marLeft w:val="0"/>
      <w:marRight w:val="0"/>
      <w:marTop w:val="0"/>
      <w:marBottom w:val="0"/>
      <w:divBdr>
        <w:top w:val="none" w:sz="0" w:space="0" w:color="auto"/>
        <w:left w:val="none" w:sz="0" w:space="0" w:color="auto"/>
        <w:bottom w:val="none" w:sz="0" w:space="0" w:color="auto"/>
        <w:right w:val="none" w:sz="0" w:space="0" w:color="auto"/>
      </w:divBdr>
    </w:div>
    <w:div w:id="202987177">
      <w:bodyDiv w:val="1"/>
      <w:marLeft w:val="0"/>
      <w:marRight w:val="0"/>
      <w:marTop w:val="0"/>
      <w:marBottom w:val="0"/>
      <w:divBdr>
        <w:top w:val="none" w:sz="0" w:space="0" w:color="auto"/>
        <w:left w:val="none" w:sz="0" w:space="0" w:color="auto"/>
        <w:bottom w:val="none" w:sz="0" w:space="0" w:color="auto"/>
        <w:right w:val="none" w:sz="0" w:space="0" w:color="auto"/>
      </w:divBdr>
    </w:div>
    <w:div w:id="212430910">
      <w:bodyDiv w:val="1"/>
      <w:marLeft w:val="0"/>
      <w:marRight w:val="0"/>
      <w:marTop w:val="0"/>
      <w:marBottom w:val="0"/>
      <w:divBdr>
        <w:top w:val="none" w:sz="0" w:space="0" w:color="auto"/>
        <w:left w:val="none" w:sz="0" w:space="0" w:color="auto"/>
        <w:bottom w:val="none" w:sz="0" w:space="0" w:color="auto"/>
        <w:right w:val="none" w:sz="0" w:space="0" w:color="auto"/>
      </w:divBdr>
    </w:div>
    <w:div w:id="227150902">
      <w:bodyDiv w:val="1"/>
      <w:marLeft w:val="0"/>
      <w:marRight w:val="0"/>
      <w:marTop w:val="0"/>
      <w:marBottom w:val="0"/>
      <w:divBdr>
        <w:top w:val="none" w:sz="0" w:space="0" w:color="auto"/>
        <w:left w:val="none" w:sz="0" w:space="0" w:color="auto"/>
        <w:bottom w:val="none" w:sz="0" w:space="0" w:color="auto"/>
        <w:right w:val="none" w:sz="0" w:space="0" w:color="auto"/>
      </w:divBdr>
    </w:div>
    <w:div w:id="234823926">
      <w:bodyDiv w:val="1"/>
      <w:marLeft w:val="0"/>
      <w:marRight w:val="0"/>
      <w:marTop w:val="0"/>
      <w:marBottom w:val="0"/>
      <w:divBdr>
        <w:top w:val="none" w:sz="0" w:space="0" w:color="auto"/>
        <w:left w:val="none" w:sz="0" w:space="0" w:color="auto"/>
        <w:bottom w:val="none" w:sz="0" w:space="0" w:color="auto"/>
        <w:right w:val="none" w:sz="0" w:space="0" w:color="auto"/>
      </w:divBdr>
    </w:div>
    <w:div w:id="244608981">
      <w:bodyDiv w:val="1"/>
      <w:marLeft w:val="0"/>
      <w:marRight w:val="0"/>
      <w:marTop w:val="0"/>
      <w:marBottom w:val="0"/>
      <w:divBdr>
        <w:top w:val="none" w:sz="0" w:space="0" w:color="auto"/>
        <w:left w:val="none" w:sz="0" w:space="0" w:color="auto"/>
        <w:bottom w:val="none" w:sz="0" w:space="0" w:color="auto"/>
        <w:right w:val="none" w:sz="0" w:space="0" w:color="auto"/>
      </w:divBdr>
    </w:div>
    <w:div w:id="252519367">
      <w:bodyDiv w:val="1"/>
      <w:marLeft w:val="0"/>
      <w:marRight w:val="0"/>
      <w:marTop w:val="0"/>
      <w:marBottom w:val="0"/>
      <w:divBdr>
        <w:top w:val="none" w:sz="0" w:space="0" w:color="auto"/>
        <w:left w:val="none" w:sz="0" w:space="0" w:color="auto"/>
        <w:bottom w:val="none" w:sz="0" w:space="0" w:color="auto"/>
        <w:right w:val="none" w:sz="0" w:space="0" w:color="auto"/>
      </w:divBdr>
    </w:div>
    <w:div w:id="260915118">
      <w:bodyDiv w:val="1"/>
      <w:marLeft w:val="0"/>
      <w:marRight w:val="0"/>
      <w:marTop w:val="0"/>
      <w:marBottom w:val="0"/>
      <w:divBdr>
        <w:top w:val="none" w:sz="0" w:space="0" w:color="auto"/>
        <w:left w:val="none" w:sz="0" w:space="0" w:color="auto"/>
        <w:bottom w:val="none" w:sz="0" w:space="0" w:color="auto"/>
        <w:right w:val="none" w:sz="0" w:space="0" w:color="auto"/>
      </w:divBdr>
    </w:div>
    <w:div w:id="275255312">
      <w:bodyDiv w:val="1"/>
      <w:marLeft w:val="0"/>
      <w:marRight w:val="0"/>
      <w:marTop w:val="0"/>
      <w:marBottom w:val="0"/>
      <w:divBdr>
        <w:top w:val="none" w:sz="0" w:space="0" w:color="auto"/>
        <w:left w:val="none" w:sz="0" w:space="0" w:color="auto"/>
        <w:bottom w:val="none" w:sz="0" w:space="0" w:color="auto"/>
        <w:right w:val="none" w:sz="0" w:space="0" w:color="auto"/>
      </w:divBdr>
    </w:div>
    <w:div w:id="279924635">
      <w:bodyDiv w:val="1"/>
      <w:marLeft w:val="0"/>
      <w:marRight w:val="0"/>
      <w:marTop w:val="0"/>
      <w:marBottom w:val="0"/>
      <w:divBdr>
        <w:top w:val="none" w:sz="0" w:space="0" w:color="auto"/>
        <w:left w:val="none" w:sz="0" w:space="0" w:color="auto"/>
        <w:bottom w:val="none" w:sz="0" w:space="0" w:color="auto"/>
        <w:right w:val="none" w:sz="0" w:space="0" w:color="auto"/>
      </w:divBdr>
    </w:div>
    <w:div w:id="286812321">
      <w:bodyDiv w:val="1"/>
      <w:marLeft w:val="0"/>
      <w:marRight w:val="0"/>
      <w:marTop w:val="0"/>
      <w:marBottom w:val="0"/>
      <w:divBdr>
        <w:top w:val="none" w:sz="0" w:space="0" w:color="auto"/>
        <w:left w:val="none" w:sz="0" w:space="0" w:color="auto"/>
        <w:bottom w:val="none" w:sz="0" w:space="0" w:color="auto"/>
        <w:right w:val="none" w:sz="0" w:space="0" w:color="auto"/>
      </w:divBdr>
    </w:div>
    <w:div w:id="311832392">
      <w:bodyDiv w:val="1"/>
      <w:marLeft w:val="0"/>
      <w:marRight w:val="0"/>
      <w:marTop w:val="0"/>
      <w:marBottom w:val="0"/>
      <w:divBdr>
        <w:top w:val="none" w:sz="0" w:space="0" w:color="auto"/>
        <w:left w:val="none" w:sz="0" w:space="0" w:color="auto"/>
        <w:bottom w:val="none" w:sz="0" w:space="0" w:color="auto"/>
        <w:right w:val="none" w:sz="0" w:space="0" w:color="auto"/>
      </w:divBdr>
    </w:div>
    <w:div w:id="321737947">
      <w:bodyDiv w:val="1"/>
      <w:marLeft w:val="0"/>
      <w:marRight w:val="0"/>
      <w:marTop w:val="0"/>
      <w:marBottom w:val="0"/>
      <w:divBdr>
        <w:top w:val="none" w:sz="0" w:space="0" w:color="auto"/>
        <w:left w:val="none" w:sz="0" w:space="0" w:color="auto"/>
        <w:bottom w:val="none" w:sz="0" w:space="0" w:color="auto"/>
        <w:right w:val="none" w:sz="0" w:space="0" w:color="auto"/>
      </w:divBdr>
    </w:div>
    <w:div w:id="330989195">
      <w:bodyDiv w:val="1"/>
      <w:marLeft w:val="0"/>
      <w:marRight w:val="0"/>
      <w:marTop w:val="0"/>
      <w:marBottom w:val="0"/>
      <w:divBdr>
        <w:top w:val="none" w:sz="0" w:space="0" w:color="auto"/>
        <w:left w:val="none" w:sz="0" w:space="0" w:color="auto"/>
        <w:bottom w:val="none" w:sz="0" w:space="0" w:color="auto"/>
        <w:right w:val="none" w:sz="0" w:space="0" w:color="auto"/>
      </w:divBdr>
    </w:div>
    <w:div w:id="356390034">
      <w:bodyDiv w:val="1"/>
      <w:marLeft w:val="0"/>
      <w:marRight w:val="0"/>
      <w:marTop w:val="0"/>
      <w:marBottom w:val="0"/>
      <w:divBdr>
        <w:top w:val="none" w:sz="0" w:space="0" w:color="auto"/>
        <w:left w:val="none" w:sz="0" w:space="0" w:color="auto"/>
        <w:bottom w:val="none" w:sz="0" w:space="0" w:color="auto"/>
        <w:right w:val="none" w:sz="0" w:space="0" w:color="auto"/>
      </w:divBdr>
    </w:div>
    <w:div w:id="373889859">
      <w:bodyDiv w:val="1"/>
      <w:marLeft w:val="0"/>
      <w:marRight w:val="0"/>
      <w:marTop w:val="0"/>
      <w:marBottom w:val="0"/>
      <w:divBdr>
        <w:top w:val="none" w:sz="0" w:space="0" w:color="auto"/>
        <w:left w:val="none" w:sz="0" w:space="0" w:color="auto"/>
        <w:bottom w:val="none" w:sz="0" w:space="0" w:color="auto"/>
        <w:right w:val="none" w:sz="0" w:space="0" w:color="auto"/>
      </w:divBdr>
    </w:div>
    <w:div w:id="385229694">
      <w:bodyDiv w:val="1"/>
      <w:marLeft w:val="0"/>
      <w:marRight w:val="0"/>
      <w:marTop w:val="0"/>
      <w:marBottom w:val="0"/>
      <w:divBdr>
        <w:top w:val="none" w:sz="0" w:space="0" w:color="auto"/>
        <w:left w:val="none" w:sz="0" w:space="0" w:color="auto"/>
        <w:bottom w:val="none" w:sz="0" w:space="0" w:color="auto"/>
        <w:right w:val="none" w:sz="0" w:space="0" w:color="auto"/>
      </w:divBdr>
    </w:div>
    <w:div w:id="403258981">
      <w:bodyDiv w:val="1"/>
      <w:marLeft w:val="0"/>
      <w:marRight w:val="0"/>
      <w:marTop w:val="0"/>
      <w:marBottom w:val="0"/>
      <w:divBdr>
        <w:top w:val="none" w:sz="0" w:space="0" w:color="auto"/>
        <w:left w:val="none" w:sz="0" w:space="0" w:color="auto"/>
        <w:bottom w:val="none" w:sz="0" w:space="0" w:color="auto"/>
        <w:right w:val="none" w:sz="0" w:space="0" w:color="auto"/>
      </w:divBdr>
    </w:div>
    <w:div w:id="412511312">
      <w:bodyDiv w:val="1"/>
      <w:marLeft w:val="0"/>
      <w:marRight w:val="0"/>
      <w:marTop w:val="0"/>
      <w:marBottom w:val="0"/>
      <w:divBdr>
        <w:top w:val="none" w:sz="0" w:space="0" w:color="auto"/>
        <w:left w:val="none" w:sz="0" w:space="0" w:color="auto"/>
        <w:bottom w:val="none" w:sz="0" w:space="0" w:color="auto"/>
        <w:right w:val="none" w:sz="0" w:space="0" w:color="auto"/>
      </w:divBdr>
    </w:div>
    <w:div w:id="420177218">
      <w:bodyDiv w:val="1"/>
      <w:marLeft w:val="0"/>
      <w:marRight w:val="0"/>
      <w:marTop w:val="0"/>
      <w:marBottom w:val="0"/>
      <w:divBdr>
        <w:top w:val="none" w:sz="0" w:space="0" w:color="auto"/>
        <w:left w:val="none" w:sz="0" w:space="0" w:color="auto"/>
        <w:bottom w:val="none" w:sz="0" w:space="0" w:color="auto"/>
        <w:right w:val="none" w:sz="0" w:space="0" w:color="auto"/>
      </w:divBdr>
    </w:div>
    <w:div w:id="424114935">
      <w:bodyDiv w:val="1"/>
      <w:marLeft w:val="0"/>
      <w:marRight w:val="0"/>
      <w:marTop w:val="0"/>
      <w:marBottom w:val="0"/>
      <w:divBdr>
        <w:top w:val="none" w:sz="0" w:space="0" w:color="auto"/>
        <w:left w:val="none" w:sz="0" w:space="0" w:color="auto"/>
        <w:bottom w:val="none" w:sz="0" w:space="0" w:color="auto"/>
        <w:right w:val="none" w:sz="0" w:space="0" w:color="auto"/>
      </w:divBdr>
    </w:div>
    <w:div w:id="425542676">
      <w:bodyDiv w:val="1"/>
      <w:marLeft w:val="0"/>
      <w:marRight w:val="0"/>
      <w:marTop w:val="0"/>
      <w:marBottom w:val="0"/>
      <w:divBdr>
        <w:top w:val="none" w:sz="0" w:space="0" w:color="auto"/>
        <w:left w:val="none" w:sz="0" w:space="0" w:color="auto"/>
        <w:bottom w:val="none" w:sz="0" w:space="0" w:color="auto"/>
        <w:right w:val="none" w:sz="0" w:space="0" w:color="auto"/>
      </w:divBdr>
    </w:div>
    <w:div w:id="430781716">
      <w:bodyDiv w:val="1"/>
      <w:marLeft w:val="0"/>
      <w:marRight w:val="0"/>
      <w:marTop w:val="0"/>
      <w:marBottom w:val="0"/>
      <w:divBdr>
        <w:top w:val="none" w:sz="0" w:space="0" w:color="auto"/>
        <w:left w:val="none" w:sz="0" w:space="0" w:color="auto"/>
        <w:bottom w:val="none" w:sz="0" w:space="0" w:color="auto"/>
        <w:right w:val="none" w:sz="0" w:space="0" w:color="auto"/>
      </w:divBdr>
    </w:div>
    <w:div w:id="440878616">
      <w:bodyDiv w:val="1"/>
      <w:marLeft w:val="0"/>
      <w:marRight w:val="0"/>
      <w:marTop w:val="0"/>
      <w:marBottom w:val="0"/>
      <w:divBdr>
        <w:top w:val="none" w:sz="0" w:space="0" w:color="auto"/>
        <w:left w:val="none" w:sz="0" w:space="0" w:color="auto"/>
        <w:bottom w:val="none" w:sz="0" w:space="0" w:color="auto"/>
        <w:right w:val="none" w:sz="0" w:space="0" w:color="auto"/>
      </w:divBdr>
    </w:div>
    <w:div w:id="445194429">
      <w:bodyDiv w:val="1"/>
      <w:marLeft w:val="0"/>
      <w:marRight w:val="0"/>
      <w:marTop w:val="0"/>
      <w:marBottom w:val="0"/>
      <w:divBdr>
        <w:top w:val="none" w:sz="0" w:space="0" w:color="auto"/>
        <w:left w:val="none" w:sz="0" w:space="0" w:color="auto"/>
        <w:bottom w:val="none" w:sz="0" w:space="0" w:color="auto"/>
        <w:right w:val="none" w:sz="0" w:space="0" w:color="auto"/>
      </w:divBdr>
    </w:div>
    <w:div w:id="447966234">
      <w:bodyDiv w:val="1"/>
      <w:marLeft w:val="0"/>
      <w:marRight w:val="0"/>
      <w:marTop w:val="0"/>
      <w:marBottom w:val="0"/>
      <w:divBdr>
        <w:top w:val="none" w:sz="0" w:space="0" w:color="auto"/>
        <w:left w:val="none" w:sz="0" w:space="0" w:color="auto"/>
        <w:bottom w:val="none" w:sz="0" w:space="0" w:color="auto"/>
        <w:right w:val="none" w:sz="0" w:space="0" w:color="auto"/>
      </w:divBdr>
    </w:div>
    <w:div w:id="472872944">
      <w:bodyDiv w:val="1"/>
      <w:marLeft w:val="0"/>
      <w:marRight w:val="0"/>
      <w:marTop w:val="0"/>
      <w:marBottom w:val="0"/>
      <w:divBdr>
        <w:top w:val="none" w:sz="0" w:space="0" w:color="auto"/>
        <w:left w:val="none" w:sz="0" w:space="0" w:color="auto"/>
        <w:bottom w:val="none" w:sz="0" w:space="0" w:color="auto"/>
        <w:right w:val="none" w:sz="0" w:space="0" w:color="auto"/>
      </w:divBdr>
    </w:div>
    <w:div w:id="491720375">
      <w:bodyDiv w:val="1"/>
      <w:marLeft w:val="0"/>
      <w:marRight w:val="0"/>
      <w:marTop w:val="0"/>
      <w:marBottom w:val="0"/>
      <w:divBdr>
        <w:top w:val="none" w:sz="0" w:space="0" w:color="auto"/>
        <w:left w:val="none" w:sz="0" w:space="0" w:color="auto"/>
        <w:bottom w:val="none" w:sz="0" w:space="0" w:color="auto"/>
        <w:right w:val="none" w:sz="0" w:space="0" w:color="auto"/>
      </w:divBdr>
    </w:div>
    <w:div w:id="499009474">
      <w:bodyDiv w:val="1"/>
      <w:marLeft w:val="0"/>
      <w:marRight w:val="0"/>
      <w:marTop w:val="0"/>
      <w:marBottom w:val="0"/>
      <w:divBdr>
        <w:top w:val="none" w:sz="0" w:space="0" w:color="auto"/>
        <w:left w:val="none" w:sz="0" w:space="0" w:color="auto"/>
        <w:bottom w:val="none" w:sz="0" w:space="0" w:color="auto"/>
        <w:right w:val="none" w:sz="0" w:space="0" w:color="auto"/>
      </w:divBdr>
    </w:div>
    <w:div w:id="506363161">
      <w:bodyDiv w:val="1"/>
      <w:marLeft w:val="0"/>
      <w:marRight w:val="0"/>
      <w:marTop w:val="0"/>
      <w:marBottom w:val="0"/>
      <w:divBdr>
        <w:top w:val="none" w:sz="0" w:space="0" w:color="auto"/>
        <w:left w:val="none" w:sz="0" w:space="0" w:color="auto"/>
        <w:bottom w:val="none" w:sz="0" w:space="0" w:color="auto"/>
        <w:right w:val="none" w:sz="0" w:space="0" w:color="auto"/>
      </w:divBdr>
    </w:div>
    <w:div w:id="552739958">
      <w:bodyDiv w:val="1"/>
      <w:marLeft w:val="0"/>
      <w:marRight w:val="0"/>
      <w:marTop w:val="0"/>
      <w:marBottom w:val="0"/>
      <w:divBdr>
        <w:top w:val="none" w:sz="0" w:space="0" w:color="auto"/>
        <w:left w:val="none" w:sz="0" w:space="0" w:color="auto"/>
        <w:bottom w:val="none" w:sz="0" w:space="0" w:color="auto"/>
        <w:right w:val="none" w:sz="0" w:space="0" w:color="auto"/>
      </w:divBdr>
    </w:div>
    <w:div w:id="553272587">
      <w:bodyDiv w:val="1"/>
      <w:marLeft w:val="0"/>
      <w:marRight w:val="0"/>
      <w:marTop w:val="0"/>
      <w:marBottom w:val="0"/>
      <w:divBdr>
        <w:top w:val="none" w:sz="0" w:space="0" w:color="auto"/>
        <w:left w:val="none" w:sz="0" w:space="0" w:color="auto"/>
        <w:bottom w:val="none" w:sz="0" w:space="0" w:color="auto"/>
        <w:right w:val="none" w:sz="0" w:space="0" w:color="auto"/>
      </w:divBdr>
    </w:div>
    <w:div w:id="563218919">
      <w:bodyDiv w:val="1"/>
      <w:marLeft w:val="0"/>
      <w:marRight w:val="0"/>
      <w:marTop w:val="0"/>
      <w:marBottom w:val="0"/>
      <w:divBdr>
        <w:top w:val="none" w:sz="0" w:space="0" w:color="auto"/>
        <w:left w:val="none" w:sz="0" w:space="0" w:color="auto"/>
        <w:bottom w:val="none" w:sz="0" w:space="0" w:color="auto"/>
        <w:right w:val="none" w:sz="0" w:space="0" w:color="auto"/>
      </w:divBdr>
    </w:div>
    <w:div w:id="576672911">
      <w:bodyDiv w:val="1"/>
      <w:marLeft w:val="0"/>
      <w:marRight w:val="0"/>
      <w:marTop w:val="0"/>
      <w:marBottom w:val="0"/>
      <w:divBdr>
        <w:top w:val="none" w:sz="0" w:space="0" w:color="auto"/>
        <w:left w:val="none" w:sz="0" w:space="0" w:color="auto"/>
        <w:bottom w:val="none" w:sz="0" w:space="0" w:color="auto"/>
        <w:right w:val="none" w:sz="0" w:space="0" w:color="auto"/>
      </w:divBdr>
    </w:div>
    <w:div w:id="594289921">
      <w:bodyDiv w:val="1"/>
      <w:marLeft w:val="0"/>
      <w:marRight w:val="0"/>
      <w:marTop w:val="0"/>
      <w:marBottom w:val="0"/>
      <w:divBdr>
        <w:top w:val="none" w:sz="0" w:space="0" w:color="auto"/>
        <w:left w:val="none" w:sz="0" w:space="0" w:color="auto"/>
        <w:bottom w:val="none" w:sz="0" w:space="0" w:color="auto"/>
        <w:right w:val="none" w:sz="0" w:space="0" w:color="auto"/>
      </w:divBdr>
    </w:div>
    <w:div w:id="599147437">
      <w:bodyDiv w:val="1"/>
      <w:marLeft w:val="0"/>
      <w:marRight w:val="0"/>
      <w:marTop w:val="0"/>
      <w:marBottom w:val="0"/>
      <w:divBdr>
        <w:top w:val="none" w:sz="0" w:space="0" w:color="auto"/>
        <w:left w:val="none" w:sz="0" w:space="0" w:color="auto"/>
        <w:bottom w:val="none" w:sz="0" w:space="0" w:color="auto"/>
        <w:right w:val="none" w:sz="0" w:space="0" w:color="auto"/>
      </w:divBdr>
    </w:div>
    <w:div w:id="629285584">
      <w:bodyDiv w:val="1"/>
      <w:marLeft w:val="0"/>
      <w:marRight w:val="0"/>
      <w:marTop w:val="0"/>
      <w:marBottom w:val="0"/>
      <w:divBdr>
        <w:top w:val="none" w:sz="0" w:space="0" w:color="auto"/>
        <w:left w:val="none" w:sz="0" w:space="0" w:color="auto"/>
        <w:bottom w:val="none" w:sz="0" w:space="0" w:color="auto"/>
        <w:right w:val="none" w:sz="0" w:space="0" w:color="auto"/>
      </w:divBdr>
    </w:div>
    <w:div w:id="649676039">
      <w:bodyDiv w:val="1"/>
      <w:marLeft w:val="0"/>
      <w:marRight w:val="0"/>
      <w:marTop w:val="0"/>
      <w:marBottom w:val="0"/>
      <w:divBdr>
        <w:top w:val="none" w:sz="0" w:space="0" w:color="auto"/>
        <w:left w:val="none" w:sz="0" w:space="0" w:color="auto"/>
        <w:bottom w:val="none" w:sz="0" w:space="0" w:color="auto"/>
        <w:right w:val="none" w:sz="0" w:space="0" w:color="auto"/>
      </w:divBdr>
    </w:div>
    <w:div w:id="650407124">
      <w:bodyDiv w:val="1"/>
      <w:marLeft w:val="0"/>
      <w:marRight w:val="0"/>
      <w:marTop w:val="0"/>
      <w:marBottom w:val="0"/>
      <w:divBdr>
        <w:top w:val="none" w:sz="0" w:space="0" w:color="auto"/>
        <w:left w:val="none" w:sz="0" w:space="0" w:color="auto"/>
        <w:bottom w:val="none" w:sz="0" w:space="0" w:color="auto"/>
        <w:right w:val="none" w:sz="0" w:space="0" w:color="auto"/>
      </w:divBdr>
    </w:div>
    <w:div w:id="675494686">
      <w:bodyDiv w:val="1"/>
      <w:marLeft w:val="0"/>
      <w:marRight w:val="0"/>
      <w:marTop w:val="0"/>
      <w:marBottom w:val="0"/>
      <w:divBdr>
        <w:top w:val="none" w:sz="0" w:space="0" w:color="auto"/>
        <w:left w:val="none" w:sz="0" w:space="0" w:color="auto"/>
        <w:bottom w:val="none" w:sz="0" w:space="0" w:color="auto"/>
        <w:right w:val="none" w:sz="0" w:space="0" w:color="auto"/>
      </w:divBdr>
    </w:div>
    <w:div w:id="686642580">
      <w:bodyDiv w:val="1"/>
      <w:marLeft w:val="0"/>
      <w:marRight w:val="0"/>
      <w:marTop w:val="0"/>
      <w:marBottom w:val="0"/>
      <w:divBdr>
        <w:top w:val="none" w:sz="0" w:space="0" w:color="auto"/>
        <w:left w:val="none" w:sz="0" w:space="0" w:color="auto"/>
        <w:bottom w:val="none" w:sz="0" w:space="0" w:color="auto"/>
        <w:right w:val="none" w:sz="0" w:space="0" w:color="auto"/>
      </w:divBdr>
    </w:div>
    <w:div w:id="702484755">
      <w:bodyDiv w:val="1"/>
      <w:marLeft w:val="0"/>
      <w:marRight w:val="0"/>
      <w:marTop w:val="0"/>
      <w:marBottom w:val="0"/>
      <w:divBdr>
        <w:top w:val="none" w:sz="0" w:space="0" w:color="auto"/>
        <w:left w:val="none" w:sz="0" w:space="0" w:color="auto"/>
        <w:bottom w:val="none" w:sz="0" w:space="0" w:color="auto"/>
        <w:right w:val="none" w:sz="0" w:space="0" w:color="auto"/>
      </w:divBdr>
    </w:div>
    <w:div w:id="709299749">
      <w:bodyDiv w:val="1"/>
      <w:marLeft w:val="0"/>
      <w:marRight w:val="0"/>
      <w:marTop w:val="0"/>
      <w:marBottom w:val="0"/>
      <w:divBdr>
        <w:top w:val="none" w:sz="0" w:space="0" w:color="auto"/>
        <w:left w:val="none" w:sz="0" w:space="0" w:color="auto"/>
        <w:bottom w:val="none" w:sz="0" w:space="0" w:color="auto"/>
        <w:right w:val="none" w:sz="0" w:space="0" w:color="auto"/>
      </w:divBdr>
    </w:div>
    <w:div w:id="712970954">
      <w:bodyDiv w:val="1"/>
      <w:marLeft w:val="0"/>
      <w:marRight w:val="0"/>
      <w:marTop w:val="0"/>
      <w:marBottom w:val="0"/>
      <w:divBdr>
        <w:top w:val="none" w:sz="0" w:space="0" w:color="auto"/>
        <w:left w:val="none" w:sz="0" w:space="0" w:color="auto"/>
        <w:bottom w:val="none" w:sz="0" w:space="0" w:color="auto"/>
        <w:right w:val="none" w:sz="0" w:space="0" w:color="auto"/>
      </w:divBdr>
    </w:div>
    <w:div w:id="717316633">
      <w:bodyDiv w:val="1"/>
      <w:marLeft w:val="0"/>
      <w:marRight w:val="0"/>
      <w:marTop w:val="0"/>
      <w:marBottom w:val="0"/>
      <w:divBdr>
        <w:top w:val="none" w:sz="0" w:space="0" w:color="auto"/>
        <w:left w:val="none" w:sz="0" w:space="0" w:color="auto"/>
        <w:bottom w:val="none" w:sz="0" w:space="0" w:color="auto"/>
        <w:right w:val="none" w:sz="0" w:space="0" w:color="auto"/>
      </w:divBdr>
    </w:div>
    <w:div w:id="719743711">
      <w:bodyDiv w:val="1"/>
      <w:marLeft w:val="0"/>
      <w:marRight w:val="0"/>
      <w:marTop w:val="0"/>
      <w:marBottom w:val="0"/>
      <w:divBdr>
        <w:top w:val="none" w:sz="0" w:space="0" w:color="auto"/>
        <w:left w:val="none" w:sz="0" w:space="0" w:color="auto"/>
        <w:bottom w:val="none" w:sz="0" w:space="0" w:color="auto"/>
        <w:right w:val="none" w:sz="0" w:space="0" w:color="auto"/>
      </w:divBdr>
    </w:div>
    <w:div w:id="719789573">
      <w:bodyDiv w:val="1"/>
      <w:marLeft w:val="0"/>
      <w:marRight w:val="0"/>
      <w:marTop w:val="0"/>
      <w:marBottom w:val="0"/>
      <w:divBdr>
        <w:top w:val="none" w:sz="0" w:space="0" w:color="auto"/>
        <w:left w:val="none" w:sz="0" w:space="0" w:color="auto"/>
        <w:bottom w:val="none" w:sz="0" w:space="0" w:color="auto"/>
        <w:right w:val="none" w:sz="0" w:space="0" w:color="auto"/>
      </w:divBdr>
    </w:div>
    <w:div w:id="720516463">
      <w:bodyDiv w:val="1"/>
      <w:marLeft w:val="0"/>
      <w:marRight w:val="0"/>
      <w:marTop w:val="0"/>
      <w:marBottom w:val="0"/>
      <w:divBdr>
        <w:top w:val="none" w:sz="0" w:space="0" w:color="auto"/>
        <w:left w:val="none" w:sz="0" w:space="0" w:color="auto"/>
        <w:bottom w:val="none" w:sz="0" w:space="0" w:color="auto"/>
        <w:right w:val="none" w:sz="0" w:space="0" w:color="auto"/>
      </w:divBdr>
    </w:div>
    <w:div w:id="723260526">
      <w:bodyDiv w:val="1"/>
      <w:marLeft w:val="0"/>
      <w:marRight w:val="0"/>
      <w:marTop w:val="0"/>
      <w:marBottom w:val="0"/>
      <w:divBdr>
        <w:top w:val="none" w:sz="0" w:space="0" w:color="auto"/>
        <w:left w:val="none" w:sz="0" w:space="0" w:color="auto"/>
        <w:bottom w:val="none" w:sz="0" w:space="0" w:color="auto"/>
        <w:right w:val="none" w:sz="0" w:space="0" w:color="auto"/>
      </w:divBdr>
    </w:div>
    <w:div w:id="724305082">
      <w:bodyDiv w:val="1"/>
      <w:marLeft w:val="0"/>
      <w:marRight w:val="0"/>
      <w:marTop w:val="0"/>
      <w:marBottom w:val="0"/>
      <w:divBdr>
        <w:top w:val="none" w:sz="0" w:space="0" w:color="auto"/>
        <w:left w:val="none" w:sz="0" w:space="0" w:color="auto"/>
        <w:bottom w:val="none" w:sz="0" w:space="0" w:color="auto"/>
        <w:right w:val="none" w:sz="0" w:space="0" w:color="auto"/>
      </w:divBdr>
    </w:div>
    <w:div w:id="738089351">
      <w:bodyDiv w:val="1"/>
      <w:marLeft w:val="0"/>
      <w:marRight w:val="0"/>
      <w:marTop w:val="0"/>
      <w:marBottom w:val="0"/>
      <w:divBdr>
        <w:top w:val="none" w:sz="0" w:space="0" w:color="auto"/>
        <w:left w:val="none" w:sz="0" w:space="0" w:color="auto"/>
        <w:bottom w:val="none" w:sz="0" w:space="0" w:color="auto"/>
        <w:right w:val="none" w:sz="0" w:space="0" w:color="auto"/>
      </w:divBdr>
    </w:div>
    <w:div w:id="793405593">
      <w:bodyDiv w:val="1"/>
      <w:marLeft w:val="0"/>
      <w:marRight w:val="0"/>
      <w:marTop w:val="0"/>
      <w:marBottom w:val="0"/>
      <w:divBdr>
        <w:top w:val="none" w:sz="0" w:space="0" w:color="auto"/>
        <w:left w:val="none" w:sz="0" w:space="0" w:color="auto"/>
        <w:bottom w:val="none" w:sz="0" w:space="0" w:color="auto"/>
        <w:right w:val="none" w:sz="0" w:space="0" w:color="auto"/>
      </w:divBdr>
    </w:div>
    <w:div w:id="800542304">
      <w:bodyDiv w:val="1"/>
      <w:marLeft w:val="0"/>
      <w:marRight w:val="0"/>
      <w:marTop w:val="0"/>
      <w:marBottom w:val="0"/>
      <w:divBdr>
        <w:top w:val="none" w:sz="0" w:space="0" w:color="auto"/>
        <w:left w:val="none" w:sz="0" w:space="0" w:color="auto"/>
        <w:bottom w:val="none" w:sz="0" w:space="0" w:color="auto"/>
        <w:right w:val="none" w:sz="0" w:space="0" w:color="auto"/>
      </w:divBdr>
    </w:div>
    <w:div w:id="802700239">
      <w:bodyDiv w:val="1"/>
      <w:marLeft w:val="0"/>
      <w:marRight w:val="0"/>
      <w:marTop w:val="0"/>
      <w:marBottom w:val="0"/>
      <w:divBdr>
        <w:top w:val="none" w:sz="0" w:space="0" w:color="auto"/>
        <w:left w:val="none" w:sz="0" w:space="0" w:color="auto"/>
        <w:bottom w:val="none" w:sz="0" w:space="0" w:color="auto"/>
        <w:right w:val="none" w:sz="0" w:space="0" w:color="auto"/>
      </w:divBdr>
    </w:div>
    <w:div w:id="830025933">
      <w:bodyDiv w:val="1"/>
      <w:marLeft w:val="0"/>
      <w:marRight w:val="0"/>
      <w:marTop w:val="0"/>
      <w:marBottom w:val="0"/>
      <w:divBdr>
        <w:top w:val="none" w:sz="0" w:space="0" w:color="auto"/>
        <w:left w:val="none" w:sz="0" w:space="0" w:color="auto"/>
        <w:bottom w:val="none" w:sz="0" w:space="0" w:color="auto"/>
        <w:right w:val="none" w:sz="0" w:space="0" w:color="auto"/>
      </w:divBdr>
    </w:div>
    <w:div w:id="835923765">
      <w:bodyDiv w:val="1"/>
      <w:marLeft w:val="0"/>
      <w:marRight w:val="0"/>
      <w:marTop w:val="0"/>
      <w:marBottom w:val="0"/>
      <w:divBdr>
        <w:top w:val="none" w:sz="0" w:space="0" w:color="auto"/>
        <w:left w:val="none" w:sz="0" w:space="0" w:color="auto"/>
        <w:bottom w:val="none" w:sz="0" w:space="0" w:color="auto"/>
        <w:right w:val="none" w:sz="0" w:space="0" w:color="auto"/>
      </w:divBdr>
    </w:div>
    <w:div w:id="837429123">
      <w:bodyDiv w:val="1"/>
      <w:marLeft w:val="0"/>
      <w:marRight w:val="0"/>
      <w:marTop w:val="0"/>
      <w:marBottom w:val="0"/>
      <w:divBdr>
        <w:top w:val="none" w:sz="0" w:space="0" w:color="auto"/>
        <w:left w:val="none" w:sz="0" w:space="0" w:color="auto"/>
        <w:bottom w:val="none" w:sz="0" w:space="0" w:color="auto"/>
        <w:right w:val="none" w:sz="0" w:space="0" w:color="auto"/>
      </w:divBdr>
    </w:div>
    <w:div w:id="875893159">
      <w:bodyDiv w:val="1"/>
      <w:marLeft w:val="0"/>
      <w:marRight w:val="0"/>
      <w:marTop w:val="0"/>
      <w:marBottom w:val="0"/>
      <w:divBdr>
        <w:top w:val="none" w:sz="0" w:space="0" w:color="auto"/>
        <w:left w:val="none" w:sz="0" w:space="0" w:color="auto"/>
        <w:bottom w:val="none" w:sz="0" w:space="0" w:color="auto"/>
        <w:right w:val="none" w:sz="0" w:space="0" w:color="auto"/>
      </w:divBdr>
    </w:div>
    <w:div w:id="902256277">
      <w:bodyDiv w:val="1"/>
      <w:marLeft w:val="0"/>
      <w:marRight w:val="0"/>
      <w:marTop w:val="0"/>
      <w:marBottom w:val="0"/>
      <w:divBdr>
        <w:top w:val="none" w:sz="0" w:space="0" w:color="auto"/>
        <w:left w:val="none" w:sz="0" w:space="0" w:color="auto"/>
        <w:bottom w:val="none" w:sz="0" w:space="0" w:color="auto"/>
        <w:right w:val="none" w:sz="0" w:space="0" w:color="auto"/>
      </w:divBdr>
    </w:div>
    <w:div w:id="918059789">
      <w:bodyDiv w:val="1"/>
      <w:marLeft w:val="0"/>
      <w:marRight w:val="0"/>
      <w:marTop w:val="0"/>
      <w:marBottom w:val="0"/>
      <w:divBdr>
        <w:top w:val="none" w:sz="0" w:space="0" w:color="auto"/>
        <w:left w:val="none" w:sz="0" w:space="0" w:color="auto"/>
        <w:bottom w:val="none" w:sz="0" w:space="0" w:color="auto"/>
        <w:right w:val="none" w:sz="0" w:space="0" w:color="auto"/>
      </w:divBdr>
    </w:div>
    <w:div w:id="929198191">
      <w:bodyDiv w:val="1"/>
      <w:marLeft w:val="0"/>
      <w:marRight w:val="0"/>
      <w:marTop w:val="0"/>
      <w:marBottom w:val="0"/>
      <w:divBdr>
        <w:top w:val="none" w:sz="0" w:space="0" w:color="auto"/>
        <w:left w:val="none" w:sz="0" w:space="0" w:color="auto"/>
        <w:bottom w:val="none" w:sz="0" w:space="0" w:color="auto"/>
        <w:right w:val="none" w:sz="0" w:space="0" w:color="auto"/>
      </w:divBdr>
    </w:div>
    <w:div w:id="949362897">
      <w:bodyDiv w:val="1"/>
      <w:marLeft w:val="0"/>
      <w:marRight w:val="0"/>
      <w:marTop w:val="0"/>
      <w:marBottom w:val="0"/>
      <w:divBdr>
        <w:top w:val="none" w:sz="0" w:space="0" w:color="auto"/>
        <w:left w:val="none" w:sz="0" w:space="0" w:color="auto"/>
        <w:bottom w:val="none" w:sz="0" w:space="0" w:color="auto"/>
        <w:right w:val="none" w:sz="0" w:space="0" w:color="auto"/>
      </w:divBdr>
    </w:div>
    <w:div w:id="952782790">
      <w:bodyDiv w:val="1"/>
      <w:marLeft w:val="0"/>
      <w:marRight w:val="0"/>
      <w:marTop w:val="0"/>
      <w:marBottom w:val="0"/>
      <w:divBdr>
        <w:top w:val="none" w:sz="0" w:space="0" w:color="auto"/>
        <w:left w:val="none" w:sz="0" w:space="0" w:color="auto"/>
        <w:bottom w:val="none" w:sz="0" w:space="0" w:color="auto"/>
        <w:right w:val="none" w:sz="0" w:space="0" w:color="auto"/>
      </w:divBdr>
    </w:div>
    <w:div w:id="958727795">
      <w:bodyDiv w:val="1"/>
      <w:marLeft w:val="0"/>
      <w:marRight w:val="0"/>
      <w:marTop w:val="0"/>
      <w:marBottom w:val="0"/>
      <w:divBdr>
        <w:top w:val="none" w:sz="0" w:space="0" w:color="auto"/>
        <w:left w:val="none" w:sz="0" w:space="0" w:color="auto"/>
        <w:bottom w:val="none" w:sz="0" w:space="0" w:color="auto"/>
        <w:right w:val="none" w:sz="0" w:space="0" w:color="auto"/>
      </w:divBdr>
    </w:div>
    <w:div w:id="964851288">
      <w:bodyDiv w:val="1"/>
      <w:marLeft w:val="0"/>
      <w:marRight w:val="0"/>
      <w:marTop w:val="0"/>
      <w:marBottom w:val="0"/>
      <w:divBdr>
        <w:top w:val="none" w:sz="0" w:space="0" w:color="auto"/>
        <w:left w:val="none" w:sz="0" w:space="0" w:color="auto"/>
        <w:bottom w:val="none" w:sz="0" w:space="0" w:color="auto"/>
        <w:right w:val="none" w:sz="0" w:space="0" w:color="auto"/>
      </w:divBdr>
    </w:div>
    <w:div w:id="979261861">
      <w:bodyDiv w:val="1"/>
      <w:marLeft w:val="0"/>
      <w:marRight w:val="0"/>
      <w:marTop w:val="0"/>
      <w:marBottom w:val="0"/>
      <w:divBdr>
        <w:top w:val="none" w:sz="0" w:space="0" w:color="auto"/>
        <w:left w:val="none" w:sz="0" w:space="0" w:color="auto"/>
        <w:bottom w:val="none" w:sz="0" w:space="0" w:color="auto"/>
        <w:right w:val="none" w:sz="0" w:space="0" w:color="auto"/>
      </w:divBdr>
    </w:div>
    <w:div w:id="989794937">
      <w:bodyDiv w:val="1"/>
      <w:marLeft w:val="0"/>
      <w:marRight w:val="0"/>
      <w:marTop w:val="0"/>
      <w:marBottom w:val="0"/>
      <w:divBdr>
        <w:top w:val="none" w:sz="0" w:space="0" w:color="auto"/>
        <w:left w:val="none" w:sz="0" w:space="0" w:color="auto"/>
        <w:bottom w:val="none" w:sz="0" w:space="0" w:color="auto"/>
        <w:right w:val="none" w:sz="0" w:space="0" w:color="auto"/>
      </w:divBdr>
    </w:div>
    <w:div w:id="990673763">
      <w:bodyDiv w:val="1"/>
      <w:marLeft w:val="0"/>
      <w:marRight w:val="0"/>
      <w:marTop w:val="0"/>
      <w:marBottom w:val="0"/>
      <w:divBdr>
        <w:top w:val="none" w:sz="0" w:space="0" w:color="auto"/>
        <w:left w:val="none" w:sz="0" w:space="0" w:color="auto"/>
        <w:bottom w:val="none" w:sz="0" w:space="0" w:color="auto"/>
        <w:right w:val="none" w:sz="0" w:space="0" w:color="auto"/>
      </w:divBdr>
    </w:div>
    <w:div w:id="995575489">
      <w:bodyDiv w:val="1"/>
      <w:marLeft w:val="0"/>
      <w:marRight w:val="0"/>
      <w:marTop w:val="0"/>
      <w:marBottom w:val="0"/>
      <w:divBdr>
        <w:top w:val="none" w:sz="0" w:space="0" w:color="auto"/>
        <w:left w:val="none" w:sz="0" w:space="0" w:color="auto"/>
        <w:bottom w:val="none" w:sz="0" w:space="0" w:color="auto"/>
        <w:right w:val="none" w:sz="0" w:space="0" w:color="auto"/>
      </w:divBdr>
    </w:div>
    <w:div w:id="997154381">
      <w:bodyDiv w:val="1"/>
      <w:marLeft w:val="0"/>
      <w:marRight w:val="0"/>
      <w:marTop w:val="0"/>
      <w:marBottom w:val="0"/>
      <w:divBdr>
        <w:top w:val="none" w:sz="0" w:space="0" w:color="auto"/>
        <w:left w:val="none" w:sz="0" w:space="0" w:color="auto"/>
        <w:bottom w:val="none" w:sz="0" w:space="0" w:color="auto"/>
        <w:right w:val="none" w:sz="0" w:space="0" w:color="auto"/>
      </w:divBdr>
    </w:div>
    <w:div w:id="1005939554">
      <w:bodyDiv w:val="1"/>
      <w:marLeft w:val="0"/>
      <w:marRight w:val="0"/>
      <w:marTop w:val="0"/>
      <w:marBottom w:val="0"/>
      <w:divBdr>
        <w:top w:val="none" w:sz="0" w:space="0" w:color="auto"/>
        <w:left w:val="none" w:sz="0" w:space="0" w:color="auto"/>
        <w:bottom w:val="none" w:sz="0" w:space="0" w:color="auto"/>
        <w:right w:val="none" w:sz="0" w:space="0" w:color="auto"/>
      </w:divBdr>
    </w:div>
    <w:div w:id="1010180881">
      <w:bodyDiv w:val="1"/>
      <w:marLeft w:val="0"/>
      <w:marRight w:val="0"/>
      <w:marTop w:val="0"/>
      <w:marBottom w:val="0"/>
      <w:divBdr>
        <w:top w:val="none" w:sz="0" w:space="0" w:color="auto"/>
        <w:left w:val="none" w:sz="0" w:space="0" w:color="auto"/>
        <w:bottom w:val="none" w:sz="0" w:space="0" w:color="auto"/>
        <w:right w:val="none" w:sz="0" w:space="0" w:color="auto"/>
      </w:divBdr>
    </w:div>
    <w:div w:id="1015376511">
      <w:bodyDiv w:val="1"/>
      <w:marLeft w:val="0"/>
      <w:marRight w:val="0"/>
      <w:marTop w:val="0"/>
      <w:marBottom w:val="0"/>
      <w:divBdr>
        <w:top w:val="none" w:sz="0" w:space="0" w:color="auto"/>
        <w:left w:val="none" w:sz="0" w:space="0" w:color="auto"/>
        <w:bottom w:val="none" w:sz="0" w:space="0" w:color="auto"/>
        <w:right w:val="none" w:sz="0" w:space="0" w:color="auto"/>
      </w:divBdr>
    </w:div>
    <w:div w:id="1019433520">
      <w:bodyDiv w:val="1"/>
      <w:marLeft w:val="0"/>
      <w:marRight w:val="0"/>
      <w:marTop w:val="0"/>
      <w:marBottom w:val="0"/>
      <w:divBdr>
        <w:top w:val="none" w:sz="0" w:space="0" w:color="auto"/>
        <w:left w:val="none" w:sz="0" w:space="0" w:color="auto"/>
        <w:bottom w:val="none" w:sz="0" w:space="0" w:color="auto"/>
        <w:right w:val="none" w:sz="0" w:space="0" w:color="auto"/>
      </w:divBdr>
    </w:div>
    <w:div w:id="1021397228">
      <w:bodyDiv w:val="1"/>
      <w:marLeft w:val="0"/>
      <w:marRight w:val="0"/>
      <w:marTop w:val="0"/>
      <w:marBottom w:val="0"/>
      <w:divBdr>
        <w:top w:val="none" w:sz="0" w:space="0" w:color="auto"/>
        <w:left w:val="none" w:sz="0" w:space="0" w:color="auto"/>
        <w:bottom w:val="none" w:sz="0" w:space="0" w:color="auto"/>
        <w:right w:val="none" w:sz="0" w:space="0" w:color="auto"/>
      </w:divBdr>
    </w:div>
    <w:div w:id="1040521101">
      <w:bodyDiv w:val="1"/>
      <w:marLeft w:val="0"/>
      <w:marRight w:val="0"/>
      <w:marTop w:val="0"/>
      <w:marBottom w:val="0"/>
      <w:divBdr>
        <w:top w:val="none" w:sz="0" w:space="0" w:color="auto"/>
        <w:left w:val="none" w:sz="0" w:space="0" w:color="auto"/>
        <w:bottom w:val="none" w:sz="0" w:space="0" w:color="auto"/>
        <w:right w:val="none" w:sz="0" w:space="0" w:color="auto"/>
      </w:divBdr>
    </w:div>
    <w:div w:id="1080059948">
      <w:bodyDiv w:val="1"/>
      <w:marLeft w:val="0"/>
      <w:marRight w:val="0"/>
      <w:marTop w:val="0"/>
      <w:marBottom w:val="0"/>
      <w:divBdr>
        <w:top w:val="none" w:sz="0" w:space="0" w:color="auto"/>
        <w:left w:val="none" w:sz="0" w:space="0" w:color="auto"/>
        <w:bottom w:val="none" w:sz="0" w:space="0" w:color="auto"/>
        <w:right w:val="none" w:sz="0" w:space="0" w:color="auto"/>
      </w:divBdr>
    </w:div>
    <w:div w:id="1089891416">
      <w:bodyDiv w:val="1"/>
      <w:marLeft w:val="0"/>
      <w:marRight w:val="0"/>
      <w:marTop w:val="0"/>
      <w:marBottom w:val="0"/>
      <w:divBdr>
        <w:top w:val="none" w:sz="0" w:space="0" w:color="auto"/>
        <w:left w:val="none" w:sz="0" w:space="0" w:color="auto"/>
        <w:bottom w:val="none" w:sz="0" w:space="0" w:color="auto"/>
        <w:right w:val="none" w:sz="0" w:space="0" w:color="auto"/>
      </w:divBdr>
    </w:div>
    <w:div w:id="1094782114">
      <w:bodyDiv w:val="1"/>
      <w:marLeft w:val="0"/>
      <w:marRight w:val="0"/>
      <w:marTop w:val="0"/>
      <w:marBottom w:val="0"/>
      <w:divBdr>
        <w:top w:val="none" w:sz="0" w:space="0" w:color="auto"/>
        <w:left w:val="none" w:sz="0" w:space="0" w:color="auto"/>
        <w:bottom w:val="none" w:sz="0" w:space="0" w:color="auto"/>
        <w:right w:val="none" w:sz="0" w:space="0" w:color="auto"/>
      </w:divBdr>
    </w:div>
    <w:div w:id="1106459590">
      <w:bodyDiv w:val="1"/>
      <w:marLeft w:val="0"/>
      <w:marRight w:val="0"/>
      <w:marTop w:val="0"/>
      <w:marBottom w:val="0"/>
      <w:divBdr>
        <w:top w:val="none" w:sz="0" w:space="0" w:color="auto"/>
        <w:left w:val="none" w:sz="0" w:space="0" w:color="auto"/>
        <w:bottom w:val="none" w:sz="0" w:space="0" w:color="auto"/>
        <w:right w:val="none" w:sz="0" w:space="0" w:color="auto"/>
      </w:divBdr>
    </w:div>
    <w:div w:id="1106969136">
      <w:bodyDiv w:val="1"/>
      <w:marLeft w:val="0"/>
      <w:marRight w:val="0"/>
      <w:marTop w:val="0"/>
      <w:marBottom w:val="0"/>
      <w:divBdr>
        <w:top w:val="none" w:sz="0" w:space="0" w:color="auto"/>
        <w:left w:val="none" w:sz="0" w:space="0" w:color="auto"/>
        <w:bottom w:val="none" w:sz="0" w:space="0" w:color="auto"/>
        <w:right w:val="none" w:sz="0" w:space="0" w:color="auto"/>
      </w:divBdr>
    </w:div>
    <w:div w:id="1124154097">
      <w:bodyDiv w:val="1"/>
      <w:marLeft w:val="0"/>
      <w:marRight w:val="0"/>
      <w:marTop w:val="0"/>
      <w:marBottom w:val="0"/>
      <w:divBdr>
        <w:top w:val="none" w:sz="0" w:space="0" w:color="auto"/>
        <w:left w:val="none" w:sz="0" w:space="0" w:color="auto"/>
        <w:bottom w:val="none" w:sz="0" w:space="0" w:color="auto"/>
        <w:right w:val="none" w:sz="0" w:space="0" w:color="auto"/>
      </w:divBdr>
    </w:div>
    <w:div w:id="1173567157">
      <w:bodyDiv w:val="1"/>
      <w:marLeft w:val="0"/>
      <w:marRight w:val="0"/>
      <w:marTop w:val="0"/>
      <w:marBottom w:val="0"/>
      <w:divBdr>
        <w:top w:val="none" w:sz="0" w:space="0" w:color="auto"/>
        <w:left w:val="none" w:sz="0" w:space="0" w:color="auto"/>
        <w:bottom w:val="none" w:sz="0" w:space="0" w:color="auto"/>
        <w:right w:val="none" w:sz="0" w:space="0" w:color="auto"/>
      </w:divBdr>
    </w:div>
    <w:div w:id="1191188233">
      <w:bodyDiv w:val="1"/>
      <w:marLeft w:val="0"/>
      <w:marRight w:val="0"/>
      <w:marTop w:val="0"/>
      <w:marBottom w:val="0"/>
      <w:divBdr>
        <w:top w:val="none" w:sz="0" w:space="0" w:color="auto"/>
        <w:left w:val="none" w:sz="0" w:space="0" w:color="auto"/>
        <w:bottom w:val="none" w:sz="0" w:space="0" w:color="auto"/>
        <w:right w:val="none" w:sz="0" w:space="0" w:color="auto"/>
      </w:divBdr>
    </w:div>
    <w:div w:id="1193423109">
      <w:bodyDiv w:val="1"/>
      <w:marLeft w:val="0"/>
      <w:marRight w:val="0"/>
      <w:marTop w:val="0"/>
      <w:marBottom w:val="0"/>
      <w:divBdr>
        <w:top w:val="none" w:sz="0" w:space="0" w:color="auto"/>
        <w:left w:val="none" w:sz="0" w:space="0" w:color="auto"/>
        <w:bottom w:val="none" w:sz="0" w:space="0" w:color="auto"/>
        <w:right w:val="none" w:sz="0" w:space="0" w:color="auto"/>
      </w:divBdr>
    </w:div>
    <w:div w:id="1211957412">
      <w:bodyDiv w:val="1"/>
      <w:marLeft w:val="0"/>
      <w:marRight w:val="0"/>
      <w:marTop w:val="0"/>
      <w:marBottom w:val="0"/>
      <w:divBdr>
        <w:top w:val="none" w:sz="0" w:space="0" w:color="auto"/>
        <w:left w:val="none" w:sz="0" w:space="0" w:color="auto"/>
        <w:bottom w:val="none" w:sz="0" w:space="0" w:color="auto"/>
        <w:right w:val="none" w:sz="0" w:space="0" w:color="auto"/>
      </w:divBdr>
    </w:div>
    <w:div w:id="1226450725">
      <w:bodyDiv w:val="1"/>
      <w:marLeft w:val="0"/>
      <w:marRight w:val="0"/>
      <w:marTop w:val="0"/>
      <w:marBottom w:val="0"/>
      <w:divBdr>
        <w:top w:val="none" w:sz="0" w:space="0" w:color="auto"/>
        <w:left w:val="none" w:sz="0" w:space="0" w:color="auto"/>
        <w:bottom w:val="none" w:sz="0" w:space="0" w:color="auto"/>
        <w:right w:val="none" w:sz="0" w:space="0" w:color="auto"/>
      </w:divBdr>
    </w:div>
    <w:div w:id="1230504873">
      <w:bodyDiv w:val="1"/>
      <w:marLeft w:val="0"/>
      <w:marRight w:val="0"/>
      <w:marTop w:val="0"/>
      <w:marBottom w:val="0"/>
      <w:divBdr>
        <w:top w:val="none" w:sz="0" w:space="0" w:color="auto"/>
        <w:left w:val="none" w:sz="0" w:space="0" w:color="auto"/>
        <w:bottom w:val="none" w:sz="0" w:space="0" w:color="auto"/>
        <w:right w:val="none" w:sz="0" w:space="0" w:color="auto"/>
      </w:divBdr>
    </w:div>
    <w:div w:id="1233545560">
      <w:bodyDiv w:val="1"/>
      <w:marLeft w:val="0"/>
      <w:marRight w:val="0"/>
      <w:marTop w:val="0"/>
      <w:marBottom w:val="0"/>
      <w:divBdr>
        <w:top w:val="none" w:sz="0" w:space="0" w:color="auto"/>
        <w:left w:val="none" w:sz="0" w:space="0" w:color="auto"/>
        <w:bottom w:val="none" w:sz="0" w:space="0" w:color="auto"/>
        <w:right w:val="none" w:sz="0" w:space="0" w:color="auto"/>
      </w:divBdr>
    </w:div>
    <w:div w:id="1276328009">
      <w:bodyDiv w:val="1"/>
      <w:marLeft w:val="0"/>
      <w:marRight w:val="0"/>
      <w:marTop w:val="0"/>
      <w:marBottom w:val="0"/>
      <w:divBdr>
        <w:top w:val="none" w:sz="0" w:space="0" w:color="auto"/>
        <w:left w:val="none" w:sz="0" w:space="0" w:color="auto"/>
        <w:bottom w:val="none" w:sz="0" w:space="0" w:color="auto"/>
        <w:right w:val="none" w:sz="0" w:space="0" w:color="auto"/>
      </w:divBdr>
    </w:div>
    <w:div w:id="1297954034">
      <w:bodyDiv w:val="1"/>
      <w:marLeft w:val="0"/>
      <w:marRight w:val="0"/>
      <w:marTop w:val="0"/>
      <w:marBottom w:val="0"/>
      <w:divBdr>
        <w:top w:val="none" w:sz="0" w:space="0" w:color="auto"/>
        <w:left w:val="none" w:sz="0" w:space="0" w:color="auto"/>
        <w:bottom w:val="none" w:sz="0" w:space="0" w:color="auto"/>
        <w:right w:val="none" w:sz="0" w:space="0" w:color="auto"/>
      </w:divBdr>
    </w:div>
    <w:div w:id="1307397924">
      <w:bodyDiv w:val="1"/>
      <w:marLeft w:val="0"/>
      <w:marRight w:val="0"/>
      <w:marTop w:val="0"/>
      <w:marBottom w:val="0"/>
      <w:divBdr>
        <w:top w:val="none" w:sz="0" w:space="0" w:color="auto"/>
        <w:left w:val="none" w:sz="0" w:space="0" w:color="auto"/>
        <w:bottom w:val="none" w:sz="0" w:space="0" w:color="auto"/>
        <w:right w:val="none" w:sz="0" w:space="0" w:color="auto"/>
      </w:divBdr>
    </w:div>
    <w:div w:id="1332295306">
      <w:bodyDiv w:val="1"/>
      <w:marLeft w:val="0"/>
      <w:marRight w:val="0"/>
      <w:marTop w:val="0"/>
      <w:marBottom w:val="0"/>
      <w:divBdr>
        <w:top w:val="none" w:sz="0" w:space="0" w:color="auto"/>
        <w:left w:val="none" w:sz="0" w:space="0" w:color="auto"/>
        <w:bottom w:val="none" w:sz="0" w:space="0" w:color="auto"/>
        <w:right w:val="none" w:sz="0" w:space="0" w:color="auto"/>
      </w:divBdr>
    </w:div>
    <w:div w:id="1343774284">
      <w:bodyDiv w:val="1"/>
      <w:marLeft w:val="0"/>
      <w:marRight w:val="0"/>
      <w:marTop w:val="0"/>
      <w:marBottom w:val="0"/>
      <w:divBdr>
        <w:top w:val="none" w:sz="0" w:space="0" w:color="auto"/>
        <w:left w:val="none" w:sz="0" w:space="0" w:color="auto"/>
        <w:bottom w:val="none" w:sz="0" w:space="0" w:color="auto"/>
        <w:right w:val="none" w:sz="0" w:space="0" w:color="auto"/>
      </w:divBdr>
    </w:div>
    <w:div w:id="1356544146">
      <w:bodyDiv w:val="1"/>
      <w:marLeft w:val="0"/>
      <w:marRight w:val="0"/>
      <w:marTop w:val="0"/>
      <w:marBottom w:val="0"/>
      <w:divBdr>
        <w:top w:val="none" w:sz="0" w:space="0" w:color="auto"/>
        <w:left w:val="none" w:sz="0" w:space="0" w:color="auto"/>
        <w:bottom w:val="none" w:sz="0" w:space="0" w:color="auto"/>
        <w:right w:val="none" w:sz="0" w:space="0" w:color="auto"/>
      </w:divBdr>
    </w:div>
    <w:div w:id="1358043535">
      <w:bodyDiv w:val="1"/>
      <w:marLeft w:val="0"/>
      <w:marRight w:val="0"/>
      <w:marTop w:val="0"/>
      <w:marBottom w:val="0"/>
      <w:divBdr>
        <w:top w:val="none" w:sz="0" w:space="0" w:color="auto"/>
        <w:left w:val="none" w:sz="0" w:space="0" w:color="auto"/>
        <w:bottom w:val="none" w:sz="0" w:space="0" w:color="auto"/>
        <w:right w:val="none" w:sz="0" w:space="0" w:color="auto"/>
      </w:divBdr>
    </w:div>
    <w:div w:id="1364751635">
      <w:bodyDiv w:val="1"/>
      <w:marLeft w:val="0"/>
      <w:marRight w:val="0"/>
      <w:marTop w:val="0"/>
      <w:marBottom w:val="0"/>
      <w:divBdr>
        <w:top w:val="none" w:sz="0" w:space="0" w:color="auto"/>
        <w:left w:val="none" w:sz="0" w:space="0" w:color="auto"/>
        <w:bottom w:val="none" w:sz="0" w:space="0" w:color="auto"/>
        <w:right w:val="none" w:sz="0" w:space="0" w:color="auto"/>
      </w:divBdr>
    </w:div>
    <w:div w:id="1369183702">
      <w:bodyDiv w:val="1"/>
      <w:marLeft w:val="0"/>
      <w:marRight w:val="0"/>
      <w:marTop w:val="0"/>
      <w:marBottom w:val="0"/>
      <w:divBdr>
        <w:top w:val="none" w:sz="0" w:space="0" w:color="auto"/>
        <w:left w:val="none" w:sz="0" w:space="0" w:color="auto"/>
        <w:bottom w:val="none" w:sz="0" w:space="0" w:color="auto"/>
        <w:right w:val="none" w:sz="0" w:space="0" w:color="auto"/>
      </w:divBdr>
    </w:div>
    <w:div w:id="1402092757">
      <w:bodyDiv w:val="1"/>
      <w:marLeft w:val="0"/>
      <w:marRight w:val="0"/>
      <w:marTop w:val="0"/>
      <w:marBottom w:val="0"/>
      <w:divBdr>
        <w:top w:val="none" w:sz="0" w:space="0" w:color="auto"/>
        <w:left w:val="none" w:sz="0" w:space="0" w:color="auto"/>
        <w:bottom w:val="none" w:sz="0" w:space="0" w:color="auto"/>
        <w:right w:val="none" w:sz="0" w:space="0" w:color="auto"/>
      </w:divBdr>
    </w:div>
    <w:div w:id="1416316523">
      <w:bodyDiv w:val="1"/>
      <w:marLeft w:val="0"/>
      <w:marRight w:val="0"/>
      <w:marTop w:val="0"/>
      <w:marBottom w:val="0"/>
      <w:divBdr>
        <w:top w:val="none" w:sz="0" w:space="0" w:color="auto"/>
        <w:left w:val="none" w:sz="0" w:space="0" w:color="auto"/>
        <w:bottom w:val="none" w:sz="0" w:space="0" w:color="auto"/>
        <w:right w:val="none" w:sz="0" w:space="0" w:color="auto"/>
      </w:divBdr>
    </w:div>
    <w:div w:id="1419785965">
      <w:bodyDiv w:val="1"/>
      <w:marLeft w:val="0"/>
      <w:marRight w:val="0"/>
      <w:marTop w:val="0"/>
      <w:marBottom w:val="0"/>
      <w:divBdr>
        <w:top w:val="none" w:sz="0" w:space="0" w:color="auto"/>
        <w:left w:val="none" w:sz="0" w:space="0" w:color="auto"/>
        <w:bottom w:val="none" w:sz="0" w:space="0" w:color="auto"/>
        <w:right w:val="none" w:sz="0" w:space="0" w:color="auto"/>
      </w:divBdr>
    </w:div>
    <w:div w:id="1422527278">
      <w:bodyDiv w:val="1"/>
      <w:marLeft w:val="0"/>
      <w:marRight w:val="0"/>
      <w:marTop w:val="0"/>
      <w:marBottom w:val="0"/>
      <w:divBdr>
        <w:top w:val="none" w:sz="0" w:space="0" w:color="auto"/>
        <w:left w:val="none" w:sz="0" w:space="0" w:color="auto"/>
        <w:bottom w:val="none" w:sz="0" w:space="0" w:color="auto"/>
        <w:right w:val="none" w:sz="0" w:space="0" w:color="auto"/>
      </w:divBdr>
    </w:div>
    <w:div w:id="1426225904">
      <w:bodyDiv w:val="1"/>
      <w:marLeft w:val="0"/>
      <w:marRight w:val="0"/>
      <w:marTop w:val="0"/>
      <w:marBottom w:val="0"/>
      <w:divBdr>
        <w:top w:val="none" w:sz="0" w:space="0" w:color="auto"/>
        <w:left w:val="none" w:sz="0" w:space="0" w:color="auto"/>
        <w:bottom w:val="none" w:sz="0" w:space="0" w:color="auto"/>
        <w:right w:val="none" w:sz="0" w:space="0" w:color="auto"/>
      </w:divBdr>
    </w:div>
    <w:div w:id="1435708271">
      <w:bodyDiv w:val="1"/>
      <w:marLeft w:val="0"/>
      <w:marRight w:val="0"/>
      <w:marTop w:val="0"/>
      <w:marBottom w:val="0"/>
      <w:divBdr>
        <w:top w:val="none" w:sz="0" w:space="0" w:color="auto"/>
        <w:left w:val="none" w:sz="0" w:space="0" w:color="auto"/>
        <w:bottom w:val="none" w:sz="0" w:space="0" w:color="auto"/>
        <w:right w:val="none" w:sz="0" w:space="0" w:color="auto"/>
      </w:divBdr>
    </w:div>
    <w:div w:id="1438019984">
      <w:bodyDiv w:val="1"/>
      <w:marLeft w:val="0"/>
      <w:marRight w:val="0"/>
      <w:marTop w:val="0"/>
      <w:marBottom w:val="0"/>
      <w:divBdr>
        <w:top w:val="none" w:sz="0" w:space="0" w:color="auto"/>
        <w:left w:val="none" w:sz="0" w:space="0" w:color="auto"/>
        <w:bottom w:val="none" w:sz="0" w:space="0" w:color="auto"/>
        <w:right w:val="none" w:sz="0" w:space="0" w:color="auto"/>
      </w:divBdr>
    </w:div>
    <w:div w:id="1441334733">
      <w:bodyDiv w:val="1"/>
      <w:marLeft w:val="0"/>
      <w:marRight w:val="0"/>
      <w:marTop w:val="0"/>
      <w:marBottom w:val="0"/>
      <w:divBdr>
        <w:top w:val="none" w:sz="0" w:space="0" w:color="auto"/>
        <w:left w:val="none" w:sz="0" w:space="0" w:color="auto"/>
        <w:bottom w:val="none" w:sz="0" w:space="0" w:color="auto"/>
        <w:right w:val="none" w:sz="0" w:space="0" w:color="auto"/>
      </w:divBdr>
    </w:div>
    <w:div w:id="1455364770">
      <w:bodyDiv w:val="1"/>
      <w:marLeft w:val="0"/>
      <w:marRight w:val="0"/>
      <w:marTop w:val="0"/>
      <w:marBottom w:val="0"/>
      <w:divBdr>
        <w:top w:val="none" w:sz="0" w:space="0" w:color="auto"/>
        <w:left w:val="none" w:sz="0" w:space="0" w:color="auto"/>
        <w:bottom w:val="none" w:sz="0" w:space="0" w:color="auto"/>
        <w:right w:val="none" w:sz="0" w:space="0" w:color="auto"/>
      </w:divBdr>
    </w:div>
    <w:div w:id="1458648511">
      <w:bodyDiv w:val="1"/>
      <w:marLeft w:val="0"/>
      <w:marRight w:val="0"/>
      <w:marTop w:val="0"/>
      <w:marBottom w:val="0"/>
      <w:divBdr>
        <w:top w:val="none" w:sz="0" w:space="0" w:color="auto"/>
        <w:left w:val="none" w:sz="0" w:space="0" w:color="auto"/>
        <w:bottom w:val="none" w:sz="0" w:space="0" w:color="auto"/>
        <w:right w:val="none" w:sz="0" w:space="0" w:color="auto"/>
      </w:divBdr>
    </w:div>
    <w:div w:id="1466655776">
      <w:bodyDiv w:val="1"/>
      <w:marLeft w:val="0"/>
      <w:marRight w:val="0"/>
      <w:marTop w:val="0"/>
      <w:marBottom w:val="0"/>
      <w:divBdr>
        <w:top w:val="none" w:sz="0" w:space="0" w:color="auto"/>
        <w:left w:val="none" w:sz="0" w:space="0" w:color="auto"/>
        <w:bottom w:val="none" w:sz="0" w:space="0" w:color="auto"/>
        <w:right w:val="none" w:sz="0" w:space="0" w:color="auto"/>
      </w:divBdr>
    </w:div>
    <w:div w:id="1505318345">
      <w:bodyDiv w:val="1"/>
      <w:marLeft w:val="0"/>
      <w:marRight w:val="0"/>
      <w:marTop w:val="0"/>
      <w:marBottom w:val="0"/>
      <w:divBdr>
        <w:top w:val="none" w:sz="0" w:space="0" w:color="auto"/>
        <w:left w:val="none" w:sz="0" w:space="0" w:color="auto"/>
        <w:bottom w:val="none" w:sz="0" w:space="0" w:color="auto"/>
        <w:right w:val="none" w:sz="0" w:space="0" w:color="auto"/>
      </w:divBdr>
    </w:div>
    <w:div w:id="1510556933">
      <w:bodyDiv w:val="1"/>
      <w:marLeft w:val="0"/>
      <w:marRight w:val="0"/>
      <w:marTop w:val="0"/>
      <w:marBottom w:val="0"/>
      <w:divBdr>
        <w:top w:val="none" w:sz="0" w:space="0" w:color="auto"/>
        <w:left w:val="none" w:sz="0" w:space="0" w:color="auto"/>
        <w:bottom w:val="none" w:sz="0" w:space="0" w:color="auto"/>
        <w:right w:val="none" w:sz="0" w:space="0" w:color="auto"/>
      </w:divBdr>
    </w:div>
    <w:div w:id="1513908677">
      <w:bodyDiv w:val="1"/>
      <w:marLeft w:val="0"/>
      <w:marRight w:val="0"/>
      <w:marTop w:val="0"/>
      <w:marBottom w:val="0"/>
      <w:divBdr>
        <w:top w:val="none" w:sz="0" w:space="0" w:color="auto"/>
        <w:left w:val="none" w:sz="0" w:space="0" w:color="auto"/>
        <w:bottom w:val="none" w:sz="0" w:space="0" w:color="auto"/>
        <w:right w:val="none" w:sz="0" w:space="0" w:color="auto"/>
      </w:divBdr>
    </w:div>
    <w:div w:id="1522164912">
      <w:bodyDiv w:val="1"/>
      <w:marLeft w:val="0"/>
      <w:marRight w:val="0"/>
      <w:marTop w:val="0"/>
      <w:marBottom w:val="0"/>
      <w:divBdr>
        <w:top w:val="none" w:sz="0" w:space="0" w:color="auto"/>
        <w:left w:val="none" w:sz="0" w:space="0" w:color="auto"/>
        <w:bottom w:val="none" w:sz="0" w:space="0" w:color="auto"/>
        <w:right w:val="none" w:sz="0" w:space="0" w:color="auto"/>
      </w:divBdr>
    </w:div>
    <w:div w:id="1534806402">
      <w:bodyDiv w:val="1"/>
      <w:marLeft w:val="0"/>
      <w:marRight w:val="0"/>
      <w:marTop w:val="0"/>
      <w:marBottom w:val="0"/>
      <w:divBdr>
        <w:top w:val="none" w:sz="0" w:space="0" w:color="auto"/>
        <w:left w:val="none" w:sz="0" w:space="0" w:color="auto"/>
        <w:bottom w:val="none" w:sz="0" w:space="0" w:color="auto"/>
        <w:right w:val="none" w:sz="0" w:space="0" w:color="auto"/>
      </w:divBdr>
    </w:div>
    <w:div w:id="1537816383">
      <w:bodyDiv w:val="1"/>
      <w:marLeft w:val="0"/>
      <w:marRight w:val="0"/>
      <w:marTop w:val="0"/>
      <w:marBottom w:val="0"/>
      <w:divBdr>
        <w:top w:val="none" w:sz="0" w:space="0" w:color="auto"/>
        <w:left w:val="none" w:sz="0" w:space="0" w:color="auto"/>
        <w:bottom w:val="none" w:sz="0" w:space="0" w:color="auto"/>
        <w:right w:val="none" w:sz="0" w:space="0" w:color="auto"/>
      </w:divBdr>
    </w:div>
    <w:div w:id="1537961577">
      <w:bodyDiv w:val="1"/>
      <w:marLeft w:val="0"/>
      <w:marRight w:val="0"/>
      <w:marTop w:val="0"/>
      <w:marBottom w:val="0"/>
      <w:divBdr>
        <w:top w:val="none" w:sz="0" w:space="0" w:color="auto"/>
        <w:left w:val="none" w:sz="0" w:space="0" w:color="auto"/>
        <w:bottom w:val="none" w:sz="0" w:space="0" w:color="auto"/>
        <w:right w:val="none" w:sz="0" w:space="0" w:color="auto"/>
      </w:divBdr>
    </w:div>
    <w:div w:id="1574193774">
      <w:bodyDiv w:val="1"/>
      <w:marLeft w:val="0"/>
      <w:marRight w:val="0"/>
      <w:marTop w:val="0"/>
      <w:marBottom w:val="0"/>
      <w:divBdr>
        <w:top w:val="none" w:sz="0" w:space="0" w:color="auto"/>
        <w:left w:val="none" w:sz="0" w:space="0" w:color="auto"/>
        <w:bottom w:val="none" w:sz="0" w:space="0" w:color="auto"/>
        <w:right w:val="none" w:sz="0" w:space="0" w:color="auto"/>
      </w:divBdr>
    </w:div>
    <w:div w:id="1583490228">
      <w:bodyDiv w:val="1"/>
      <w:marLeft w:val="0"/>
      <w:marRight w:val="0"/>
      <w:marTop w:val="0"/>
      <w:marBottom w:val="0"/>
      <w:divBdr>
        <w:top w:val="none" w:sz="0" w:space="0" w:color="auto"/>
        <w:left w:val="none" w:sz="0" w:space="0" w:color="auto"/>
        <w:bottom w:val="none" w:sz="0" w:space="0" w:color="auto"/>
        <w:right w:val="none" w:sz="0" w:space="0" w:color="auto"/>
      </w:divBdr>
    </w:div>
    <w:div w:id="1592734621">
      <w:bodyDiv w:val="1"/>
      <w:marLeft w:val="0"/>
      <w:marRight w:val="0"/>
      <w:marTop w:val="0"/>
      <w:marBottom w:val="0"/>
      <w:divBdr>
        <w:top w:val="none" w:sz="0" w:space="0" w:color="auto"/>
        <w:left w:val="none" w:sz="0" w:space="0" w:color="auto"/>
        <w:bottom w:val="none" w:sz="0" w:space="0" w:color="auto"/>
        <w:right w:val="none" w:sz="0" w:space="0" w:color="auto"/>
      </w:divBdr>
    </w:div>
    <w:div w:id="1603369578">
      <w:bodyDiv w:val="1"/>
      <w:marLeft w:val="0"/>
      <w:marRight w:val="0"/>
      <w:marTop w:val="0"/>
      <w:marBottom w:val="0"/>
      <w:divBdr>
        <w:top w:val="none" w:sz="0" w:space="0" w:color="auto"/>
        <w:left w:val="none" w:sz="0" w:space="0" w:color="auto"/>
        <w:bottom w:val="none" w:sz="0" w:space="0" w:color="auto"/>
        <w:right w:val="none" w:sz="0" w:space="0" w:color="auto"/>
      </w:divBdr>
    </w:div>
    <w:div w:id="1603803152">
      <w:bodyDiv w:val="1"/>
      <w:marLeft w:val="0"/>
      <w:marRight w:val="0"/>
      <w:marTop w:val="0"/>
      <w:marBottom w:val="0"/>
      <w:divBdr>
        <w:top w:val="none" w:sz="0" w:space="0" w:color="auto"/>
        <w:left w:val="none" w:sz="0" w:space="0" w:color="auto"/>
        <w:bottom w:val="none" w:sz="0" w:space="0" w:color="auto"/>
        <w:right w:val="none" w:sz="0" w:space="0" w:color="auto"/>
      </w:divBdr>
    </w:div>
    <w:div w:id="1611737782">
      <w:bodyDiv w:val="1"/>
      <w:marLeft w:val="0"/>
      <w:marRight w:val="0"/>
      <w:marTop w:val="0"/>
      <w:marBottom w:val="0"/>
      <w:divBdr>
        <w:top w:val="none" w:sz="0" w:space="0" w:color="auto"/>
        <w:left w:val="none" w:sz="0" w:space="0" w:color="auto"/>
        <w:bottom w:val="none" w:sz="0" w:space="0" w:color="auto"/>
        <w:right w:val="none" w:sz="0" w:space="0" w:color="auto"/>
      </w:divBdr>
    </w:div>
    <w:div w:id="1624995317">
      <w:bodyDiv w:val="1"/>
      <w:marLeft w:val="0"/>
      <w:marRight w:val="0"/>
      <w:marTop w:val="0"/>
      <w:marBottom w:val="0"/>
      <w:divBdr>
        <w:top w:val="none" w:sz="0" w:space="0" w:color="auto"/>
        <w:left w:val="none" w:sz="0" w:space="0" w:color="auto"/>
        <w:bottom w:val="none" w:sz="0" w:space="0" w:color="auto"/>
        <w:right w:val="none" w:sz="0" w:space="0" w:color="auto"/>
      </w:divBdr>
    </w:div>
    <w:div w:id="1651904689">
      <w:bodyDiv w:val="1"/>
      <w:marLeft w:val="0"/>
      <w:marRight w:val="0"/>
      <w:marTop w:val="0"/>
      <w:marBottom w:val="0"/>
      <w:divBdr>
        <w:top w:val="none" w:sz="0" w:space="0" w:color="auto"/>
        <w:left w:val="none" w:sz="0" w:space="0" w:color="auto"/>
        <w:bottom w:val="none" w:sz="0" w:space="0" w:color="auto"/>
        <w:right w:val="none" w:sz="0" w:space="0" w:color="auto"/>
      </w:divBdr>
    </w:div>
    <w:div w:id="1654025361">
      <w:bodyDiv w:val="1"/>
      <w:marLeft w:val="0"/>
      <w:marRight w:val="0"/>
      <w:marTop w:val="0"/>
      <w:marBottom w:val="0"/>
      <w:divBdr>
        <w:top w:val="none" w:sz="0" w:space="0" w:color="auto"/>
        <w:left w:val="none" w:sz="0" w:space="0" w:color="auto"/>
        <w:bottom w:val="none" w:sz="0" w:space="0" w:color="auto"/>
        <w:right w:val="none" w:sz="0" w:space="0" w:color="auto"/>
      </w:divBdr>
    </w:div>
    <w:div w:id="1667585282">
      <w:bodyDiv w:val="1"/>
      <w:marLeft w:val="0"/>
      <w:marRight w:val="0"/>
      <w:marTop w:val="0"/>
      <w:marBottom w:val="0"/>
      <w:divBdr>
        <w:top w:val="none" w:sz="0" w:space="0" w:color="auto"/>
        <w:left w:val="none" w:sz="0" w:space="0" w:color="auto"/>
        <w:bottom w:val="none" w:sz="0" w:space="0" w:color="auto"/>
        <w:right w:val="none" w:sz="0" w:space="0" w:color="auto"/>
      </w:divBdr>
    </w:div>
    <w:div w:id="1668240050">
      <w:bodyDiv w:val="1"/>
      <w:marLeft w:val="0"/>
      <w:marRight w:val="0"/>
      <w:marTop w:val="0"/>
      <w:marBottom w:val="0"/>
      <w:divBdr>
        <w:top w:val="none" w:sz="0" w:space="0" w:color="auto"/>
        <w:left w:val="none" w:sz="0" w:space="0" w:color="auto"/>
        <w:bottom w:val="none" w:sz="0" w:space="0" w:color="auto"/>
        <w:right w:val="none" w:sz="0" w:space="0" w:color="auto"/>
      </w:divBdr>
    </w:div>
    <w:div w:id="1682659671">
      <w:bodyDiv w:val="1"/>
      <w:marLeft w:val="0"/>
      <w:marRight w:val="0"/>
      <w:marTop w:val="0"/>
      <w:marBottom w:val="0"/>
      <w:divBdr>
        <w:top w:val="none" w:sz="0" w:space="0" w:color="auto"/>
        <w:left w:val="none" w:sz="0" w:space="0" w:color="auto"/>
        <w:bottom w:val="none" w:sz="0" w:space="0" w:color="auto"/>
        <w:right w:val="none" w:sz="0" w:space="0" w:color="auto"/>
      </w:divBdr>
    </w:div>
    <w:div w:id="1709723004">
      <w:bodyDiv w:val="1"/>
      <w:marLeft w:val="0"/>
      <w:marRight w:val="0"/>
      <w:marTop w:val="0"/>
      <w:marBottom w:val="0"/>
      <w:divBdr>
        <w:top w:val="none" w:sz="0" w:space="0" w:color="auto"/>
        <w:left w:val="none" w:sz="0" w:space="0" w:color="auto"/>
        <w:bottom w:val="none" w:sz="0" w:space="0" w:color="auto"/>
        <w:right w:val="none" w:sz="0" w:space="0" w:color="auto"/>
      </w:divBdr>
    </w:div>
    <w:div w:id="1716388688">
      <w:bodyDiv w:val="1"/>
      <w:marLeft w:val="0"/>
      <w:marRight w:val="0"/>
      <w:marTop w:val="0"/>
      <w:marBottom w:val="0"/>
      <w:divBdr>
        <w:top w:val="none" w:sz="0" w:space="0" w:color="auto"/>
        <w:left w:val="none" w:sz="0" w:space="0" w:color="auto"/>
        <w:bottom w:val="none" w:sz="0" w:space="0" w:color="auto"/>
        <w:right w:val="none" w:sz="0" w:space="0" w:color="auto"/>
      </w:divBdr>
    </w:div>
    <w:div w:id="1721898619">
      <w:bodyDiv w:val="1"/>
      <w:marLeft w:val="0"/>
      <w:marRight w:val="0"/>
      <w:marTop w:val="0"/>
      <w:marBottom w:val="0"/>
      <w:divBdr>
        <w:top w:val="none" w:sz="0" w:space="0" w:color="auto"/>
        <w:left w:val="none" w:sz="0" w:space="0" w:color="auto"/>
        <w:bottom w:val="none" w:sz="0" w:space="0" w:color="auto"/>
        <w:right w:val="none" w:sz="0" w:space="0" w:color="auto"/>
      </w:divBdr>
    </w:div>
    <w:div w:id="1729838108">
      <w:bodyDiv w:val="1"/>
      <w:marLeft w:val="0"/>
      <w:marRight w:val="0"/>
      <w:marTop w:val="0"/>
      <w:marBottom w:val="0"/>
      <w:divBdr>
        <w:top w:val="none" w:sz="0" w:space="0" w:color="auto"/>
        <w:left w:val="none" w:sz="0" w:space="0" w:color="auto"/>
        <w:bottom w:val="none" w:sz="0" w:space="0" w:color="auto"/>
        <w:right w:val="none" w:sz="0" w:space="0" w:color="auto"/>
      </w:divBdr>
    </w:div>
    <w:div w:id="1737237813">
      <w:bodyDiv w:val="1"/>
      <w:marLeft w:val="0"/>
      <w:marRight w:val="0"/>
      <w:marTop w:val="0"/>
      <w:marBottom w:val="0"/>
      <w:divBdr>
        <w:top w:val="none" w:sz="0" w:space="0" w:color="auto"/>
        <w:left w:val="none" w:sz="0" w:space="0" w:color="auto"/>
        <w:bottom w:val="none" w:sz="0" w:space="0" w:color="auto"/>
        <w:right w:val="none" w:sz="0" w:space="0" w:color="auto"/>
      </w:divBdr>
    </w:div>
    <w:div w:id="1764303537">
      <w:bodyDiv w:val="1"/>
      <w:marLeft w:val="0"/>
      <w:marRight w:val="0"/>
      <w:marTop w:val="0"/>
      <w:marBottom w:val="0"/>
      <w:divBdr>
        <w:top w:val="none" w:sz="0" w:space="0" w:color="auto"/>
        <w:left w:val="none" w:sz="0" w:space="0" w:color="auto"/>
        <w:bottom w:val="none" w:sz="0" w:space="0" w:color="auto"/>
        <w:right w:val="none" w:sz="0" w:space="0" w:color="auto"/>
      </w:divBdr>
    </w:div>
    <w:div w:id="1770392099">
      <w:bodyDiv w:val="1"/>
      <w:marLeft w:val="0"/>
      <w:marRight w:val="0"/>
      <w:marTop w:val="0"/>
      <w:marBottom w:val="0"/>
      <w:divBdr>
        <w:top w:val="none" w:sz="0" w:space="0" w:color="auto"/>
        <w:left w:val="none" w:sz="0" w:space="0" w:color="auto"/>
        <w:bottom w:val="none" w:sz="0" w:space="0" w:color="auto"/>
        <w:right w:val="none" w:sz="0" w:space="0" w:color="auto"/>
      </w:divBdr>
    </w:div>
    <w:div w:id="1773435358">
      <w:bodyDiv w:val="1"/>
      <w:marLeft w:val="0"/>
      <w:marRight w:val="0"/>
      <w:marTop w:val="0"/>
      <w:marBottom w:val="0"/>
      <w:divBdr>
        <w:top w:val="none" w:sz="0" w:space="0" w:color="auto"/>
        <w:left w:val="none" w:sz="0" w:space="0" w:color="auto"/>
        <w:bottom w:val="none" w:sz="0" w:space="0" w:color="auto"/>
        <w:right w:val="none" w:sz="0" w:space="0" w:color="auto"/>
      </w:divBdr>
    </w:div>
    <w:div w:id="1781955198">
      <w:bodyDiv w:val="1"/>
      <w:marLeft w:val="0"/>
      <w:marRight w:val="0"/>
      <w:marTop w:val="0"/>
      <w:marBottom w:val="0"/>
      <w:divBdr>
        <w:top w:val="none" w:sz="0" w:space="0" w:color="auto"/>
        <w:left w:val="none" w:sz="0" w:space="0" w:color="auto"/>
        <w:bottom w:val="none" w:sz="0" w:space="0" w:color="auto"/>
        <w:right w:val="none" w:sz="0" w:space="0" w:color="auto"/>
      </w:divBdr>
    </w:div>
    <w:div w:id="1791895857">
      <w:bodyDiv w:val="1"/>
      <w:marLeft w:val="0"/>
      <w:marRight w:val="0"/>
      <w:marTop w:val="0"/>
      <w:marBottom w:val="0"/>
      <w:divBdr>
        <w:top w:val="none" w:sz="0" w:space="0" w:color="auto"/>
        <w:left w:val="none" w:sz="0" w:space="0" w:color="auto"/>
        <w:bottom w:val="none" w:sz="0" w:space="0" w:color="auto"/>
        <w:right w:val="none" w:sz="0" w:space="0" w:color="auto"/>
      </w:divBdr>
    </w:div>
    <w:div w:id="1820881171">
      <w:bodyDiv w:val="1"/>
      <w:marLeft w:val="0"/>
      <w:marRight w:val="0"/>
      <w:marTop w:val="0"/>
      <w:marBottom w:val="0"/>
      <w:divBdr>
        <w:top w:val="none" w:sz="0" w:space="0" w:color="auto"/>
        <w:left w:val="none" w:sz="0" w:space="0" w:color="auto"/>
        <w:bottom w:val="none" w:sz="0" w:space="0" w:color="auto"/>
        <w:right w:val="none" w:sz="0" w:space="0" w:color="auto"/>
      </w:divBdr>
    </w:div>
    <w:div w:id="1822649804">
      <w:bodyDiv w:val="1"/>
      <w:marLeft w:val="0"/>
      <w:marRight w:val="0"/>
      <w:marTop w:val="0"/>
      <w:marBottom w:val="0"/>
      <w:divBdr>
        <w:top w:val="none" w:sz="0" w:space="0" w:color="auto"/>
        <w:left w:val="none" w:sz="0" w:space="0" w:color="auto"/>
        <w:bottom w:val="none" w:sz="0" w:space="0" w:color="auto"/>
        <w:right w:val="none" w:sz="0" w:space="0" w:color="auto"/>
      </w:divBdr>
    </w:div>
    <w:div w:id="1826699956">
      <w:bodyDiv w:val="1"/>
      <w:marLeft w:val="0"/>
      <w:marRight w:val="0"/>
      <w:marTop w:val="0"/>
      <w:marBottom w:val="0"/>
      <w:divBdr>
        <w:top w:val="none" w:sz="0" w:space="0" w:color="auto"/>
        <w:left w:val="none" w:sz="0" w:space="0" w:color="auto"/>
        <w:bottom w:val="none" w:sz="0" w:space="0" w:color="auto"/>
        <w:right w:val="none" w:sz="0" w:space="0" w:color="auto"/>
      </w:divBdr>
    </w:div>
    <w:div w:id="1858225955">
      <w:bodyDiv w:val="1"/>
      <w:marLeft w:val="0"/>
      <w:marRight w:val="0"/>
      <w:marTop w:val="0"/>
      <w:marBottom w:val="0"/>
      <w:divBdr>
        <w:top w:val="none" w:sz="0" w:space="0" w:color="auto"/>
        <w:left w:val="none" w:sz="0" w:space="0" w:color="auto"/>
        <w:bottom w:val="none" w:sz="0" w:space="0" w:color="auto"/>
        <w:right w:val="none" w:sz="0" w:space="0" w:color="auto"/>
      </w:divBdr>
    </w:div>
    <w:div w:id="1858689755">
      <w:bodyDiv w:val="1"/>
      <w:marLeft w:val="0"/>
      <w:marRight w:val="0"/>
      <w:marTop w:val="0"/>
      <w:marBottom w:val="0"/>
      <w:divBdr>
        <w:top w:val="none" w:sz="0" w:space="0" w:color="auto"/>
        <w:left w:val="none" w:sz="0" w:space="0" w:color="auto"/>
        <w:bottom w:val="none" w:sz="0" w:space="0" w:color="auto"/>
        <w:right w:val="none" w:sz="0" w:space="0" w:color="auto"/>
      </w:divBdr>
    </w:div>
    <w:div w:id="1864902474">
      <w:bodyDiv w:val="1"/>
      <w:marLeft w:val="0"/>
      <w:marRight w:val="0"/>
      <w:marTop w:val="0"/>
      <w:marBottom w:val="0"/>
      <w:divBdr>
        <w:top w:val="none" w:sz="0" w:space="0" w:color="auto"/>
        <w:left w:val="none" w:sz="0" w:space="0" w:color="auto"/>
        <w:bottom w:val="none" w:sz="0" w:space="0" w:color="auto"/>
        <w:right w:val="none" w:sz="0" w:space="0" w:color="auto"/>
      </w:divBdr>
    </w:div>
    <w:div w:id="1872497292">
      <w:bodyDiv w:val="1"/>
      <w:marLeft w:val="0"/>
      <w:marRight w:val="0"/>
      <w:marTop w:val="0"/>
      <w:marBottom w:val="0"/>
      <w:divBdr>
        <w:top w:val="none" w:sz="0" w:space="0" w:color="auto"/>
        <w:left w:val="none" w:sz="0" w:space="0" w:color="auto"/>
        <w:bottom w:val="none" w:sz="0" w:space="0" w:color="auto"/>
        <w:right w:val="none" w:sz="0" w:space="0" w:color="auto"/>
      </w:divBdr>
    </w:div>
    <w:div w:id="1889953935">
      <w:bodyDiv w:val="1"/>
      <w:marLeft w:val="0"/>
      <w:marRight w:val="0"/>
      <w:marTop w:val="0"/>
      <w:marBottom w:val="0"/>
      <w:divBdr>
        <w:top w:val="none" w:sz="0" w:space="0" w:color="auto"/>
        <w:left w:val="none" w:sz="0" w:space="0" w:color="auto"/>
        <w:bottom w:val="none" w:sz="0" w:space="0" w:color="auto"/>
        <w:right w:val="none" w:sz="0" w:space="0" w:color="auto"/>
      </w:divBdr>
    </w:div>
    <w:div w:id="1907185605">
      <w:bodyDiv w:val="1"/>
      <w:marLeft w:val="0"/>
      <w:marRight w:val="0"/>
      <w:marTop w:val="0"/>
      <w:marBottom w:val="0"/>
      <w:divBdr>
        <w:top w:val="none" w:sz="0" w:space="0" w:color="auto"/>
        <w:left w:val="none" w:sz="0" w:space="0" w:color="auto"/>
        <w:bottom w:val="none" w:sz="0" w:space="0" w:color="auto"/>
        <w:right w:val="none" w:sz="0" w:space="0" w:color="auto"/>
      </w:divBdr>
    </w:div>
    <w:div w:id="1909538630">
      <w:bodyDiv w:val="1"/>
      <w:marLeft w:val="0"/>
      <w:marRight w:val="0"/>
      <w:marTop w:val="0"/>
      <w:marBottom w:val="0"/>
      <w:divBdr>
        <w:top w:val="none" w:sz="0" w:space="0" w:color="auto"/>
        <w:left w:val="none" w:sz="0" w:space="0" w:color="auto"/>
        <w:bottom w:val="none" w:sz="0" w:space="0" w:color="auto"/>
        <w:right w:val="none" w:sz="0" w:space="0" w:color="auto"/>
      </w:divBdr>
    </w:div>
    <w:div w:id="1940336504">
      <w:bodyDiv w:val="1"/>
      <w:marLeft w:val="0"/>
      <w:marRight w:val="0"/>
      <w:marTop w:val="0"/>
      <w:marBottom w:val="0"/>
      <w:divBdr>
        <w:top w:val="none" w:sz="0" w:space="0" w:color="auto"/>
        <w:left w:val="none" w:sz="0" w:space="0" w:color="auto"/>
        <w:bottom w:val="none" w:sz="0" w:space="0" w:color="auto"/>
        <w:right w:val="none" w:sz="0" w:space="0" w:color="auto"/>
      </w:divBdr>
    </w:div>
    <w:div w:id="1944457294">
      <w:bodyDiv w:val="1"/>
      <w:marLeft w:val="0"/>
      <w:marRight w:val="0"/>
      <w:marTop w:val="0"/>
      <w:marBottom w:val="0"/>
      <w:divBdr>
        <w:top w:val="none" w:sz="0" w:space="0" w:color="auto"/>
        <w:left w:val="none" w:sz="0" w:space="0" w:color="auto"/>
        <w:bottom w:val="none" w:sz="0" w:space="0" w:color="auto"/>
        <w:right w:val="none" w:sz="0" w:space="0" w:color="auto"/>
      </w:divBdr>
    </w:div>
    <w:div w:id="1947425068">
      <w:bodyDiv w:val="1"/>
      <w:marLeft w:val="0"/>
      <w:marRight w:val="0"/>
      <w:marTop w:val="0"/>
      <w:marBottom w:val="0"/>
      <w:divBdr>
        <w:top w:val="none" w:sz="0" w:space="0" w:color="auto"/>
        <w:left w:val="none" w:sz="0" w:space="0" w:color="auto"/>
        <w:bottom w:val="none" w:sz="0" w:space="0" w:color="auto"/>
        <w:right w:val="none" w:sz="0" w:space="0" w:color="auto"/>
      </w:divBdr>
    </w:div>
    <w:div w:id="1953971942">
      <w:bodyDiv w:val="1"/>
      <w:marLeft w:val="0"/>
      <w:marRight w:val="0"/>
      <w:marTop w:val="0"/>
      <w:marBottom w:val="0"/>
      <w:divBdr>
        <w:top w:val="none" w:sz="0" w:space="0" w:color="auto"/>
        <w:left w:val="none" w:sz="0" w:space="0" w:color="auto"/>
        <w:bottom w:val="none" w:sz="0" w:space="0" w:color="auto"/>
        <w:right w:val="none" w:sz="0" w:space="0" w:color="auto"/>
      </w:divBdr>
    </w:div>
    <w:div w:id="1964381025">
      <w:bodyDiv w:val="1"/>
      <w:marLeft w:val="0"/>
      <w:marRight w:val="0"/>
      <w:marTop w:val="0"/>
      <w:marBottom w:val="0"/>
      <w:divBdr>
        <w:top w:val="none" w:sz="0" w:space="0" w:color="auto"/>
        <w:left w:val="none" w:sz="0" w:space="0" w:color="auto"/>
        <w:bottom w:val="none" w:sz="0" w:space="0" w:color="auto"/>
        <w:right w:val="none" w:sz="0" w:space="0" w:color="auto"/>
      </w:divBdr>
    </w:div>
    <w:div w:id="1964652054">
      <w:bodyDiv w:val="1"/>
      <w:marLeft w:val="0"/>
      <w:marRight w:val="0"/>
      <w:marTop w:val="0"/>
      <w:marBottom w:val="0"/>
      <w:divBdr>
        <w:top w:val="none" w:sz="0" w:space="0" w:color="auto"/>
        <w:left w:val="none" w:sz="0" w:space="0" w:color="auto"/>
        <w:bottom w:val="none" w:sz="0" w:space="0" w:color="auto"/>
        <w:right w:val="none" w:sz="0" w:space="0" w:color="auto"/>
      </w:divBdr>
    </w:div>
    <w:div w:id="1976525748">
      <w:bodyDiv w:val="1"/>
      <w:marLeft w:val="0"/>
      <w:marRight w:val="0"/>
      <w:marTop w:val="0"/>
      <w:marBottom w:val="0"/>
      <w:divBdr>
        <w:top w:val="none" w:sz="0" w:space="0" w:color="auto"/>
        <w:left w:val="none" w:sz="0" w:space="0" w:color="auto"/>
        <w:bottom w:val="none" w:sz="0" w:space="0" w:color="auto"/>
        <w:right w:val="none" w:sz="0" w:space="0" w:color="auto"/>
      </w:divBdr>
    </w:div>
    <w:div w:id="2009401733">
      <w:bodyDiv w:val="1"/>
      <w:marLeft w:val="0"/>
      <w:marRight w:val="0"/>
      <w:marTop w:val="0"/>
      <w:marBottom w:val="0"/>
      <w:divBdr>
        <w:top w:val="none" w:sz="0" w:space="0" w:color="auto"/>
        <w:left w:val="none" w:sz="0" w:space="0" w:color="auto"/>
        <w:bottom w:val="none" w:sz="0" w:space="0" w:color="auto"/>
        <w:right w:val="none" w:sz="0" w:space="0" w:color="auto"/>
      </w:divBdr>
    </w:div>
    <w:div w:id="2013756584">
      <w:bodyDiv w:val="1"/>
      <w:marLeft w:val="0"/>
      <w:marRight w:val="0"/>
      <w:marTop w:val="0"/>
      <w:marBottom w:val="0"/>
      <w:divBdr>
        <w:top w:val="none" w:sz="0" w:space="0" w:color="auto"/>
        <w:left w:val="none" w:sz="0" w:space="0" w:color="auto"/>
        <w:bottom w:val="none" w:sz="0" w:space="0" w:color="auto"/>
        <w:right w:val="none" w:sz="0" w:space="0" w:color="auto"/>
      </w:divBdr>
    </w:div>
    <w:div w:id="2022194708">
      <w:bodyDiv w:val="1"/>
      <w:marLeft w:val="0"/>
      <w:marRight w:val="0"/>
      <w:marTop w:val="0"/>
      <w:marBottom w:val="0"/>
      <w:divBdr>
        <w:top w:val="none" w:sz="0" w:space="0" w:color="auto"/>
        <w:left w:val="none" w:sz="0" w:space="0" w:color="auto"/>
        <w:bottom w:val="none" w:sz="0" w:space="0" w:color="auto"/>
        <w:right w:val="none" w:sz="0" w:space="0" w:color="auto"/>
      </w:divBdr>
    </w:div>
    <w:div w:id="2033534209">
      <w:bodyDiv w:val="1"/>
      <w:marLeft w:val="0"/>
      <w:marRight w:val="0"/>
      <w:marTop w:val="0"/>
      <w:marBottom w:val="0"/>
      <w:divBdr>
        <w:top w:val="none" w:sz="0" w:space="0" w:color="auto"/>
        <w:left w:val="none" w:sz="0" w:space="0" w:color="auto"/>
        <w:bottom w:val="none" w:sz="0" w:space="0" w:color="auto"/>
        <w:right w:val="none" w:sz="0" w:space="0" w:color="auto"/>
      </w:divBdr>
    </w:div>
    <w:div w:id="2039230390">
      <w:bodyDiv w:val="1"/>
      <w:marLeft w:val="0"/>
      <w:marRight w:val="0"/>
      <w:marTop w:val="0"/>
      <w:marBottom w:val="0"/>
      <w:divBdr>
        <w:top w:val="none" w:sz="0" w:space="0" w:color="auto"/>
        <w:left w:val="none" w:sz="0" w:space="0" w:color="auto"/>
        <w:bottom w:val="none" w:sz="0" w:space="0" w:color="auto"/>
        <w:right w:val="none" w:sz="0" w:space="0" w:color="auto"/>
      </w:divBdr>
    </w:div>
    <w:div w:id="2047168930">
      <w:bodyDiv w:val="1"/>
      <w:marLeft w:val="0"/>
      <w:marRight w:val="0"/>
      <w:marTop w:val="0"/>
      <w:marBottom w:val="0"/>
      <w:divBdr>
        <w:top w:val="none" w:sz="0" w:space="0" w:color="auto"/>
        <w:left w:val="none" w:sz="0" w:space="0" w:color="auto"/>
        <w:bottom w:val="none" w:sz="0" w:space="0" w:color="auto"/>
        <w:right w:val="none" w:sz="0" w:space="0" w:color="auto"/>
      </w:divBdr>
    </w:div>
    <w:div w:id="2050838192">
      <w:bodyDiv w:val="1"/>
      <w:marLeft w:val="0"/>
      <w:marRight w:val="0"/>
      <w:marTop w:val="0"/>
      <w:marBottom w:val="0"/>
      <w:divBdr>
        <w:top w:val="none" w:sz="0" w:space="0" w:color="auto"/>
        <w:left w:val="none" w:sz="0" w:space="0" w:color="auto"/>
        <w:bottom w:val="none" w:sz="0" w:space="0" w:color="auto"/>
        <w:right w:val="none" w:sz="0" w:space="0" w:color="auto"/>
      </w:divBdr>
    </w:div>
    <w:div w:id="2067415502">
      <w:bodyDiv w:val="1"/>
      <w:marLeft w:val="0"/>
      <w:marRight w:val="0"/>
      <w:marTop w:val="0"/>
      <w:marBottom w:val="0"/>
      <w:divBdr>
        <w:top w:val="none" w:sz="0" w:space="0" w:color="auto"/>
        <w:left w:val="none" w:sz="0" w:space="0" w:color="auto"/>
        <w:bottom w:val="none" w:sz="0" w:space="0" w:color="auto"/>
        <w:right w:val="none" w:sz="0" w:space="0" w:color="auto"/>
      </w:divBdr>
    </w:div>
    <w:div w:id="2070835326">
      <w:bodyDiv w:val="1"/>
      <w:marLeft w:val="0"/>
      <w:marRight w:val="0"/>
      <w:marTop w:val="0"/>
      <w:marBottom w:val="0"/>
      <w:divBdr>
        <w:top w:val="none" w:sz="0" w:space="0" w:color="auto"/>
        <w:left w:val="none" w:sz="0" w:space="0" w:color="auto"/>
        <w:bottom w:val="none" w:sz="0" w:space="0" w:color="auto"/>
        <w:right w:val="none" w:sz="0" w:space="0" w:color="auto"/>
      </w:divBdr>
    </w:div>
    <w:div w:id="2072538676">
      <w:bodyDiv w:val="1"/>
      <w:marLeft w:val="0"/>
      <w:marRight w:val="0"/>
      <w:marTop w:val="0"/>
      <w:marBottom w:val="0"/>
      <w:divBdr>
        <w:top w:val="none" w:sz="0" w:space="0" w:color="auto"/>
        <w:left w:val="none" w:sz="0" w:space="0" w:color="auto"/>
        <w:bottom w:val="none" w:sz="0" w:space="0" w:color="auto"/>
        <w:right w:val="none" w:sz="0" w:space="0" w:color="auto"/>
      </w:divBdr>
    </w:div>
    <w:div w:id="2082752384">
      <w:bodyDiv w:val="1"/>
      <w:marLeft w:val="0"/>
      <w:marRight w:val="0"/>
      <w:marTop w:val="0"/>
      <w:marBottom w:val="0"/>
      <w:divBdr>
        <w:top w:val="none" w:sz="0" w:space="0" w:color="auto"/>
        <w:left w:val="none" w:sz="0" w:space="0" w:color="auto"/>
        <w:bottom w:val="none" w:sz="0" w:space="0" w:color="auto"/>
        <w:right w:val="none" w:sz="0" w:space="0" w:color="auto"/>
      </w:divBdr>
    </w:div>
    <w:div w:id="2090273198">
      <w:bodyDiv w:val="1"/>
      <w:marLeft w:val="0"/>
      <w:marRight w:val="0"/>
      <w:marTop w:val="0"/>
      <w:marBottom w:val="0"/>
      <w:divBdr>
        <w:top w:val="none" w:sz="0" w:space="0" w:color="auto"/>
        <w:left w:val="none" w:sz="0" w:space="0" w:color="auto"/>
        <w:bottom w:val="none" w:sz="0" w:space="0" w:color="auto"/>
        <w:right w:val="none" w:sz="0" w:space="0" w:color="auto"/>
      </w:divBdr>
    </w:div>
    <w:div w:id="2099516959">
      <w:bodyDiv w:val="1"/>
      <w:marLeft w:val="0"/>
      <w:marRight w:val="0"/>
      <w:marTop w:val="0"/>
      <w:marBottom w:val="0"/>
      <w:divBdr>
        <w:top w:val="none" w:sz="0" w:space="0" w:color="auto"/>
        <w:left w:val="none" w:sz="0" w:space="0" w:color="auto"/>
        <w:bottom w:val="none" w:sz="0" w:space="0" w:color="auto"/>
        <w:right w:val="none" w:sz="0" w:space="0" w:color="auto"/>
      </w:divBdr>
    </w:div>
    <w:div w:id="2100783805">
      <w:bodyDiv w:val="1"/>
      <w:marLeft w:val="0"/>
      <w:marRight w:val="0"/>
      <w:marTop w:val="0"/>
      <w:marBottom w:val="0"/>
      <w:divBdr>
        <w:top w:val="none" w:sz="0" w:space="0" w:color="auto"/>
        <w:left w:val="none" w:sz="0" w:space="0" w:color="auto"/>
        <w:bottom w:val="none" w:sz="0" w:space="0" w:color="auto"/>
        <w:right w:val="none" w:sz="0" w:space="0" w:color="auto"/>
      </w:divBdr>
    </w:div>
    <w:div w:id="213270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321E-1711-4C80-830C-90820C30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3304</Words>
  <Characters>18834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Looker</dc:creator>
  <cp:lastModifiedBy>KJ Looker</cp:lastModifiedBy>
  <cp:revision>6</cp:revision>
  <cp:lastPrinted>2015-06-11T11:33:00Z</cp:lastPrinted>
  <dcterms:created xsi:type="dcterms:W3CDTF">2015-10-05T10:07:00Z</dcterms:created>
  <dcterms:modified xsi:type="dcterms:W3CDTF">2015-10-05T10:45:00Z</dcterms:modified>
</cp:coreProperties>
</file>