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EB" w:rsidRPr="00C4545F" w:rsidRDefault="0032238E" w:rsidP="00C4545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Supplementary</w:t>
      </w:r>
    </w:p>
    <w:p w:rsidR="0032238E" w:rsidRPr="00173B96" w:rsidRDefault="0032238E" w:rsidP="0032238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73B96">
        <w:rPr>
          <w:rFonts w:ascii="Arial" w:hAnsi="Arial" w:cs="Arial"/>
          <w:b/>
          <w:sz w:val="24"/>
          <w:szCs w:val="24"/>
        </w:rPr>
        <w:t>Temporal monitoring of differentiated human airway epithelial cells using microfluidics</w:t>
      </w:r>
    </w:p>
    <w:p w:rsidR="0032238E" w:rsidRPr="0032238E" w:rsidRDefault="0032238E" w:rsidP="0032238E">
      <w:pPr>
        <w:spacing w:line="480" w:lineRule="auto"/>
        <w:rPr>
          <w:rFonts w:ascii="Arial" w:hAnsi="Arial" w:cs="Arial"/>
          <w:sz w:val="24"/>
          <w:szCs w:val="24"/>
        </w:rPr>
      </w:pPr>
    </w:p>
    <w:p w:rsidR="0032238E" w:rsidRDefault="0032238E" w:rsidP="0032238E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32238E">
        <w:rPr>
          <w:rFonts w:ascii="Arial" w:hAnsi="Arial" w:cs="Arial"/>
          <w:sz w:val="24"/>
          <w:szCs w:val="24"/>
        </w:rPr>
        <w:t>Cornelia Blume</w:t>
      </w:r>
      <w:r w:rsidRPr="0032238E">
        <w:rPr>
          <w:rFonts w:ascii="Arial" w:hAnsi="Arial" w:cs="Arial"/>
          <w:sz w:val="24"/>
          <w:szCs w:val="24"/>
          <w:vertAlign w:val="superscript"/>
        </w:rPr>
        <w:t>1</w:t>
      </w:r>
      <w:r w:rsidR="00E8061F">
        <w:rPr>
          <w:rFonts w:ascii="Arial" w:hAnsi="Arial" w:cs="Arial"/>
          <w:sz w:val="24"/>
          <w:szCs w:val="24"/>
          <w:vertAlign w:val="superscript"/>
        </w:rPr>
        <w:t>*</w:t>
      </w:r>
      <w:r w:rsidRPr="0032238E">
        <w:rPr>
          <w:rFonts w:ascii="Arial" w:hAnsi="Arial" w:cs="Arial"/>
          <w:sz w:val="24"/>
          <w:szCs w:val="24"/>
        </w:rPr>
        <w:t>, Riccardo Reale</w:t>
      </w:r>
      <w:r w:rsidRPr="0032238E">
        <w:rPr>
          <w:rFonts w:ascii="Arial" w:hAnsi="Arial" w:cs="Arial"/>
          <w:sz w:val="24"/>
          <w:szCs w:val="24"/>
          <w:vertAlign w:val="superscript"/>
        </w:rPr>
        <w:t>2</w:t>
      </w:r>
      <w:r w:rsidRPr="0032238E">
        <w:rPr>
          <w:rFonts w:ascii="Arial" w:hAnsi="Arial" w:cs="Arial"/>
          <w:sz w:val="24"/>
          <w:szCs w:val="24"/>
        </w:rPr>
        <w:t>, Marie Held</w:t>
      </w:r>
      <w:r w:rsidRPr="0032238E">
        <w:rPr>
          <w:rFonts w:ascii="Arial" w:hAnsi="Arial" w:cs="Arial"/>
          <w:sz w:val="24"/>
          <w:szCs w:val="24"/>
          <w:vertAlign w:val="superscript"/>
        </w:rPr>
        <w:t>2</w:t>
      </w:r>
      <w:r w:rsidRPr="0032238E">
        <w:rPr>
          <w:rFonts w:ascii="Arial" w:hAnsi="Arial" w:cs="Arial"/>
          <w:sz w:val="24"/>
          <w:szCs w:val="24"/>
        </w:rPr>
        <w:t>, Timothy M. Millar</w:t>
      </w:r>
      <w:r w:rsidRPr="0032238E">
        <w:rPr>
          <w:rFonts w:ascii="Arial" w:hAnsi="Arial" w:cs="Arial"/>
          <w:sz w:val="24"/>
          <w:szCs w:val="24"/>
          <w:vertAlign w:val="superscript"/>
        </w:rPr>
        <w:t>1</w:t>
      </w:r>
      <w:r w:rsidRPr="0032238E">
        <w:rPr>
          <w:rFonts w:ascii="Arial" w:hAnsi="Arial" w:cs="Arial"/>
          <w:sz w:val="24"/>
          <w:szCs w:val="24"/>
        </w:rPr>
        <w:t>, Jane E. Collins</w:t>
      </w:r>
      <w:r w:rsidRPr="0032238E">
        <w:rPr>
          <w:rFonts w:ascii="Arial" w:hAnsi="Arial" w:cs="Arial"/>
          <w:sz w:val="24"/>
          <w:szCs w:val="24"/>
          <w:vertAlign w:val="superscript"/>
        </w:rPr>
        <w:t>1</w:t>
      </w:r>
      <w:r w:rsidRPr="0032238E">
        <w:rPr>
          <w:rFonts w:ascii="Arial" w:hAnsi="Arial" w:cs="Arial"/>
          <w:sz w:val="24"/>
          <w:szCs w:val="24"/>
        </w:rPr>
        <w:t>, Donna E. Davies</w:t>
      </w:r>
      <w:r w:rsidRPr="0032238E">
        <w:rPr>
          <w:rFonts w:ascii="Arial" w:hAnsi="Arial" w:cs="Arial"/>
          <w:sz w:val="24"/>
          <w:szCs w:val="24"/>
          <w:vertAlign w:val="superscript"/>
        </w:rPr>
        <w:t>1,3,4</w:t>
      </w:r>
      <w:r w:rsidRPr="0032238E">
        <w:rPr>
          <w:rFonts w:ascii="Arial" w:hAnsi="Arial" w:cs="Arial"/>
          <w:sz w:val="24"/>
          <w:szCs w:val="24"/>
        </w:rPr>
        <w:t>, Hywel Morgan</w:t>
      </w:r>
      <w:r w:rsidRPr="000638FB">
        <w:rPr>
          <w:rFonts w:ascii="Arial" w:hAnsi="Arial" w:cs="Arial"/>
          <w:sz w:val="24"/>
          <w:szCs w:val="24"/>
          <w:vertAlign w:val="superscript"/>
        </w:rPr>
        <w:t>2</w:t>
      </w:r>
      <w:r w:rsidRPr="0032238E">
        <w:rPr>
          <w:rFonts w:ascii="Arial" w:hAnsi="Arial" w:cs="Arial"/>
          <w:sz w:val="24"/>
          <w:szCs w:val="24"/>
          <w:vertAlign w:val="superscript"/>
        </w:rPr>
        <w:t>,3</w:t>
      </w:r>
      <w:r w:rsidRPr="0032238E">
        <w:rPr>
          <w:rFonts w:ascii="Arial" w:hAnsi="Arial" w:cs="Arial"/>
          <w:sz w:val="24"/>
          <w:szCs w:val="24"/>
        </w:rPr>
        <w:t>, Emily J. Swindle</w:t>
      </w:r>
      <w:r w:rsidRPr="0032238E">
        <w:rPr>
          <w:rFonts w:ascii="Arial" w:hAnsi="Arial" w:cs="Arial"/>
          <w:sz w:val="24"/>
          <w:szCs w:val="24"/>
          <w:vertAlign w:val="superscript"/>
        </w:rPr>
        <w:t>1,3,4</w:t>
      </w:r>
    </w:p>
    <w:p w:rsidR="00E8061F" w:rsidRPr="0032238E" w:rsidRDefault="00E8061F" w:rsidP="00E8061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8061F" w:rsidRPr="00E8061F" w:rsidRDefault="00E8061F" w:rsidP="00E8061F">
      <w:pPr>
        <w:spacing w:after="0" w:line="480" w:lineRule="auto"/>
        <w:jc w:val="both"/>
        <w:rPr>
          <w:rFonts w:asciiTheme="minorBidi" w:eastAsiaTheme="minorEastAsia" w:hAnsiTheme="minorBidi"/>
          <w:sz w:val="24"/>
          <w:szCs w:val="24"/>
          <w:lang w:eastAsia="zh-CN"/>
        </w:rPr>
      </w:pPr>
      <w:r w:rsidRPr="00E8061F">
        <w:rPr>
          <w:rFonts w:asciiTheme="minorBidi" w:eastAsiaTheme="minorEastAsia" w:hAnsiTheme="minorBidi"/>
          <w:sz w:val="24"/>
          <w:szCs w:val="24"/>
          <w:vertAlign w:val="superscript"/>
          <w:lang w:eastAsia="zh-CN"/>
        </w:rPr>
        <w:t>1</w:t>
      </w:r>
      <w:r w:rsidRPr="00E8061F">
        <w:rPr>
          <w:rFonts w:asciiTheme="minorBidi" w:eastAsiaTheme="minorEastAsia" w:hAnsiTheme="minorBidi"/>
          <w:sz w:val="24"/>
          <w:szCs w:val="24"/>
          <w:lang w:eastAsia="zh-CN"/>
        </w:rPr>
        <w:t>Academic Unit of Clinical and Experimental Sciences, Faculty of Medicine, University of Southampton, Southampton, United Kingdom</w:t>
      </w:r>
    </w:p>
    <w:p w:rsidR="00E8061F" w:rsidRPr="00E8061F" w:rsidRDefault="00E8061F" w:rsidP="00E8061F">
      <w:pPr>
        <w:spacing w:after="0" w:line="480" w:lineRule="auto"/>
        <w:jc w:val="both"/>
        <w:rPr>
          <w:rFonts w:asciiTheme="minorBidi" w:eastAsiaTheme="minorEastAsia" w:hAnsiTheme="minorBidi"/>
          <w:sz w:val="24"/>
          <w:szCs w:val="24"/>
          <w:lang w:eastAsia="zh-CN"/>
        </w:rPr>
      </w:pPr>
      <w:r w:rsidRPr="00E8061F">
        <w:rPr>
          <w:rFonts w:asciiTheme="minorBidi" w:eastAsiaTheme="minorEastAsia" w:hAnsiTheme="minorBidi"/>
          <w:sz w:val="24"/>
          <w:szCs w:val="24"/>
          <w:vertAlign w:val="superscript"/>
          <w:lang w:eastAsia="zh-CN"/>
        </w:rPr>
        <w:t>2</w:t>
      </w:r>
      <w:r w:rsidRPr="00E8061F">
        <w:rPr>
          <w:rFonts w:asciiTheme="minorBidi" w:eastAsiaTheme="minorEastAsia" w:hAnsiTheme="minorBidi"/>
          <w:sz w:val="24"/>
          <w:szCs w:val="24"/>
          <w:lang w:eastAsia="zh-CN"/>
        </w:rPr>
        <w:t>Electronics and Computer Sciences, Faculty of Physical Sciences and Engineering, University of Southampton, Southampton, United Kingdom</w:t>
      </w:r>
      <w:r w:rsidRPr="00E8061F" w:rsidDel="00EA4286">
        <w:rPr>
          <w:rFonts w:asciiTheme="minorBidi" w:eastAsiaTheme="minorEastAsia" w:hAnsiTheme="minorBidi"/>
          <w:sz w:val="24"/>
          <w:szCs w:val="24"/>
          <w:lang w:eastAsia="zh-CN"/>
        </w:rPr>
        <w:t xml:space="preserve"> </w:t>
      </w:r>
    </w:p>
    <w:p w:rsidR="00E8061F" w:rsidRPr="00E8061F" w:rsidRDefault="00E8061F" w:rsidP="00E8061F">
      <w:pPr>
        <w:spacing w:after="0" w:line="480" w:lineRule="auto"/>
        <w:jc w:val="both"/>
        <w:rPr>
          <w:rFonts w:asciiTheme="minorBidi" w:eastAsiaTheme="minorEastAsia" w:hAnsiTheme="minorBidi"/>
          <w:sz w:val="24"/>
          <w:szCs w:val="24"/>
          <w:vertAlign w:val="superscript"/>
          <w:lang w:eastAsia="zh-CN"/>
        </w:rPr>
      </w:pPr>
      <w:r w:rsidRPr="00E8061F">
        <w:rPr>
          <w:rFonts w:asciiTheme="minorBidi" w:eastAsiaTheme="minorEastAsia" w:hAnsiTheme="minorBidi"/>
          <w:sz w:val="24"/>
          <w:szCs w:val="24"/>
          <w:vertAlign w:val="superscript"/>
          <w:lang w:eastAsia="zh-CN"/>
        </w:rPr>
        <w:t>3</w:t>
      </w:r>
      <w:r w:rsidRPr="00E8061F">
        <w:rPr>
          <w:rFonts w:asciiTheme="minorBidi" w:eastAsiaTheme="minorEastAsia" w:hAnsiTheme="minorBidi"/>
          <w:sz w:val="24"/>
          <w:szCs w:val="24"/>
          <w:lang w:eastAsia="zh-CN"/>
        </w:rPr>
        <w:t>Institute for Life Sciences, University of Southampton, Southampton, United Kingdom</w:t>
      </w:r>
    </w:p>
    <w:p w:rsidR="00E8061F" w:rsidRPr="00E8061F" w:rsidRDefault="00E8061F" w:rsidP="00E8061F">
      <w:pPr>
        <w:spacing w:after="0" w:line="480" w:lineRule="auto"/>
        <w:jc w:val="both"/>
        <w:rPr>
          <w:rFonts w:asciiTheme="minorBidi" w:eastAsiaTheme="minorEastAsia" w:hAnsiTheme="minorBidi"/>
          <w:sz w:val="24"/>
          <w:szCs w:val="24"/>
          <w:lang w:eastAsia="zh-CN"/>
        </w:rPr>
      </w:pPr>
      <w:r w:rsidRPr="00E8061F">
        <w:rPr>
          <w:rFonts w:asciiTheme="minorBidi" w:eastAsiaTheme="minorEastAsia" w:hAnsiTheme="minorBidi"/>
          <w:sz w:val="24"/>
          <w:szCs w:val="24"/>
          <w:vertAlign w:val="superscript"/>
          <w:lang w:eastAsia="zh-CN"/>
        </w:rPr>
        <w:t>4</w:t>
      </w:r>
      <w:r w:rsidRPr="00E8061F">
        <w:rPr>
          <w:rFonts w:asciiTheme="minorBidi" w:eastAsiaTheme="minorEastAsia" w:hAnsiTheme="minorBidi"/>
          <w:sz w:val="24"/>
          <w:szCs w:val="24"/>
          <w:lang w:eastAsia="zh-CN"/>
        </w:rPr>
        <w:t>National Institute for Health Research, Respiratory Biomedical Research Unit, University Hospital Southampton, Southampton, United Kingdom.</w:t>
      </w:r>
    </w:p>
    <w:p w:rsidR="00E8061F" w:rsidRPr="00E8061F" w:rsidRDefault="00E8061F" w:rsidP="00E8061F">
      <w:pPr>
        <w:spacing w:after="0" w:line="480" w:lineRule="auto"/>
        <w:rPr>
          <w:rFonts w:asciiTheme="minorBidi" w:eastAsiaTheme="minorEastAsia" w:hAnsiTheme="minorBidi"/>
          <w:b/>
          <w:bCs/>
          <w:sz w:val="24"/>
          <w:szCs w:val="24"/>
          <w:lang w:eastAsia="zh-CN"/>
        </w:rPr>
      </w:pPr>
    </w:p>
    <w:p w:rsidR="00E8061F" w:rsidRPr="00E8061F" w:rsidRDefault="00E8061F" w:rsidP="00E8061F">
      <w:pPr>
        <w:spacing w:after="0" w:line="480" w:lineRule="auto"/>
        <w:rPr>
          <w:rFonts w:asciiTheme="minorBidi" w:eastAsiaTheme="minorEastAsia" w:hAnsiTheme="minorBidi"/>
          <w:sz w:val="24"/>
          <w:szCs w:val="24"/>
          <w:lang w:eastAsia="zh-CN"/>
        </w:rPr>
      </w:pPr>
      <w:r w:rsidRPr="00E8061F">
        <w:rPr>
          <w:rFonts w:asciiTheme="minorBidi" w:eastAsiaTheme="minorEastAsia" w:hAnsiTheme="minorBidi"/>
          <w:b/>
          <w:bCs/>
          <w:sz w:val="24"/>
          <w:szCs w:val="24"/>
          <w:lang w:eastAsia="zh-CN"/>
        </w:rPr>
        <w:t>*</w:t>
      </w:r>
      <w:r w:rsidRPr="00E8061F">
        <w:rPr>
          <w:rFonts w:asciiTheme="minorBidi" w:eastAsiaTheme="minorEastAsia" w:hAnsiTheme="minorBidi"/>
          <w:sz w:val="24"/>
          <w:szCs w:val="24"/>
          <w:lang w:eastAsia="zh-CN"/>
        </w:rPr>
        <w:t>Corresponding author</w:t>
      </w:r>
    </w:p>
    <w:p w:rsidR="00E8061F" w:rsidRPr="00E8061F" w:rsidRDefault="00E8061F" w:rsidP="00E8061F">
      <w:pPr>
        <w:spacing w:after="0" w:line="480" w:lineRule="auto"/>
        <w:rPr>
          <w:rFonts w:asciiTheme="minorBidi" w:eastAsiaTheme="minorEastAsia" w:hAnsiTheme="minorBidi"/>
          <w:sz w:val="24"/>
          <w:szCs w:val="24"/>
          <w:lang w:eastAsia="zh-CN"/>
        </w:rPr>
      </w:pPr>
      <w:r w:rsidRPr="00E8061F">
        <w:rPr>
          <w:rFonts w:asciiTheme="minorBidi" w:eastAsiaTheme="minorEastAsia" w:hAnsiTheme="minorBidi"/>
          <w:sz w:val="24"/>
          <w:szCs w:val="24"/>
          <w:lang w:eastAsia="zh-CN"/>
        </w:rPr>
        <w:t xml:space="preserve">Email: </w:t>
      </w:r>
      <w:hyperlink r:id="rId4" w:history="1">
        <w:r w:rsidRPr="00E8061F">
          <w:rPr>
            <w:rFonts w:asciiTheme="minorBidi" w:eastAsiaTheme="minorEastAsia" w:hAnsiTheme="minorBidi"/>
            <w:color w:val="0000FF" w:themeColor="hyperlink"/>
            <w:sz w:val="24"/>
            <w:szCs w:val="24"/>
            <w:u w:val="single"/>
            <w:lang w:eastAsia="zh-CN"/>
          </w:rPr>
          <w:t>c.blume@soton.ac.uk</w:t>
        </w:r>
      </w:hyperlink>
      <w:r w:rsidRPr="00E8061F">
        <w:rPr>
          <w:rFonts w:asciiTheme="minorBidi" w:eastAsiaTheme="minorEastAsia" w:hAnsiTheme="minorBidi"/>
          <w:color w:val="0000FF" w:themeColor="hyperlink"/>
          <w:sz w:val="24"/>
          <w:szCs w:val="24"/>
          <w:u w:val="single"/>
          <w:lang w:eastAsia="zh-CN"/>
        </w:rPr>
        <w:t xml:space="preserve"> (CB)</w:t>
      </w:r>
    </w:p>
    <w:p w:rsidR="0032238E" w:rsidRPr="0032238E" w:rsidRDefault="0032238E" w:rsidP="0032238E">
      <w:pPr>
        <w:spacing w:line="480" w:lineRule="auto"/>
        <w:rPr>
          <w:rFonts w:ascii="Arial" w:hAnsi="Arial" w:cs="Arial"/>
          <w:sz w:val="24"/>
          <w:szCs w:val="24"/>
        </w:rPr>
      </w:pPr>
    </w:p>
    <w:p w:rsidR="00340E65" w:rsidRDefault="00340E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24290" w:rsidRPr="00C4545F" w:rsidRDefault="008A6054" w:rsidP="00C4545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S1_</w:t>
      </w:r>
      <w:r w:rsidR="00624290" w:rsidRPr="00C4545F">
        <w:rPr>
          <w:rFonts w:ascii="Arial" w:hAnsi="Arial" w:cs="Arial"/>
          <w:b/>
          <w:sz w:val="24"/>
          <w:szCs w:val="24"/>
        </w:rPr>
        <w:t>Methods</w:t>
      </w:r>
    </w:p>
    <w:p w:rsidR="00624290" w:rsidRPr="00C4545F" w:rsidRDefault="00624290" w:rsidP="00C4545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4545F">
        <w:rPr>
          <w:rFonts w:ascii="Arial" w:hAnsi="Arial" w:cs="Arial"/>
          <w:i/>
          <w:iCs/>
          <w:sz w:val="24"/>
          <w:szCs w:val="24"/>
        </w:rPr>
        <w:t>Design and fabrication of the microfluidic culture system.</w:t>
      </w:r>
      <w:r w:rsidRPr="00C45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5F">
        <w:rPr>
          <w:rFonts w:ascii="Arial" w:hAnsi="Arial" w:cs="Arial"/>
          <w:sz w:val="24"/>
          <w:szCs w:val="24"/>
        </w:rPr>
        <w:t>Transwells</w:t>
      </w:r>
      <w:proofErr w:type="spellEnd"/>
      <w:r w:rsidRPr="00C4545F">
        <w:rPr>
          <w:rFonts w:ascii="Arial" w:hAnsi="Arial" w:cs="Arial"/>
          <w:sz w:val="24"/>
          <w:szCs w:val="24"/>
          <w:vertAlign w:val="superscript"/>
        </w:rPr>
        <w:t>®</w:t>
      </w:r>
      <w:r w:rsidRPr="00C4545F">
        <w:rPr>
          <w:rFonts w:ascii="Arial" w:hAnsi="Arial" w:cs="Arial"/>
          <w:sz w:val="24"/>
          <w:szCs w:val="24"/>
        </w:rPr>
        <w:t xml:space="preserve"> are commercially available plastic supports with 6.5mm diameter permeable polyester membrane (pore size 0.4 µm) bottoms on which cells are cultured. The </w:t>
      </w:r>
      <w:proofErr w:type="spellStart"/>
      <w:r w:rsidRPr="00C4545F">
        <w:rPr>
          <w:rFonts w:ascii="Arial" w:hAnsi="Arial" w:cs="Arial"/>
          <w:sz w:val="24"/>
          <w:szCs w:val="24"/>
        </w:rPr>
        <w:t>Transwell</w:t>
      </w:r>
      <w:proofErr w:type="spellEnd"/>
      <w:r w:rsidRPr="00C4545F">
        <w:rPr>
          <w:rFonts w:ascii="Arial" w:hAnsi="Arial" w:cs="Arial"/>
          <w:sz w:val="24"/>
          <w:szCs w:val="24"/>
          <w:vertAlign w:val="superscript"/>
        </w:rPr>
        <w:t>®</w:t>
      </w:r>
      <w:r w:rsidRPr="00C4545F">
        <w:rPr>
          <w:rFonts w:ascii="Arial" w:hAnsi="Arial" w:cs="Arial"/>
          <w:sz w:val="24"/>
          <w:szCs w:val="24"/>
        </w:rPr>
        <w:t xml:space="preserve"> holders were made from </w:t>
      </w:r>
      <w:proofErr w:type="spellStart"/>
      <w:r w:rsidRPr="00C4545F">
        <w:rPr>
          <w:rFonts w:ascii="Arial" w:hAnsi="Arial" w:cs="Arial"/>
          <w:sz w:val="24"/>
          <w:szCs w:val="24"/>
        </w:rPr>
        <w:t>Tecanat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4545F">
        <w:rPr>
          <w:rFonts w:ascii="Arial" w:hAnsi="Arial" w:cs="Arial"/>
          <w:sz w:val="24"/>
          <w:szCs w:val="24"/>
        </w:rPr>
        <w:t>Ensinger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, Waterlooville, UK). The device was designed to provide a constant volumetric flow beneath the </w:t>
      </w:r>
      <w:proofErr w:type="spellStart"/>
      <w:r w:rsidRPr="00C4545F">
        <w:rPr>
          <w:rFonts w:ascii="Arial" w:hAnsi="Arial" w:cs="Arial"/>
          <w:sz w:val="24"/>
          <w:szCs w:val="24"/>
        </w:rPr>
        <w:t>Transwell</w:t>
      </w:r>
      <w:proofErr w:type="spellEnd"/>
      <w:r w:rsidRPr="00C4545F">
        <w:rPr>
          <w:rFonts w:ascii="Arial" w:hAnsi="Arial" w:cs="Arial"/>
          <w:sz w:val="24"/>
          <w:szCs w:val="24"/>
          <w:vertAlign w:val="superscript"/>
        </w:rPr>
        <w:t>®</w:t>
      </w:r>
      <w:r w:rsidRPr="00C4545F">
        <w:rPr>
          <w:rFonts w:ascii="Arial" w:hAnsi="Arial" w:cs="Arial"/>
          <w:sz w:val="24"/>
          <w:szCs w:val="24"/>
        </w:rPr>
        <w:t xml:space="preserve"> membrane enabling continuous perfusion of the cells. Fluid flow was achieved beneath the </w:t>
      </w:r>
      <w:proofErr w:type="spellStart"/>
      <w:r w:rsidRPr="00C4545F">
        <w:rPr>
          <w:rFonts w:ascii="Arial" w:hAnsi="Arial" w:cs="Arial"/>
          <w:sz w:val="24"/>
          <w:szCs w:val="24"/>
        </w:rPr>
        <w:t>Tecanat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holder through a channel (width 7 mm, length 18 mm) made by laminating five layers of dry film photoresist </w:t>
      </w:r>
      <w:proofErr w:type="spellStart"/>
      <w:r w:rsidRPr="00C4545F">
        <w:rPr>
          <w:rFonts w:ascii="Arial" w:hAnsi="Arial" w:cs="Arial"/>
          <w:sz w:val="24"/>
          <w:szCs w:val="24"/>
        </w:rPr>
        <w:t>Ordyl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SY 355 (30 µm thick, </w:t>
      </w:r>
      <w:proofErr w:type="spellStart"/>
      <w:r w:rsidRPr="00C4545F">
        <w:rPr>
          <w:rFonts w:ascii="Arial" w:hAnsi="Arial" w:cs="Arial"/>
          <w:sz w:val="24"/>
          <w:szCs w:val="24"/>
        </w:rPr>
        <w:t>Elga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Europe, Italy) to the top of the supporting substrate. The dry film resist was exposed to UV light and developed to define the </w:t>
      </w:r>
      <w:proofErr w:type="spellStart"/>
      <w:r w:rsidRPr="00C4545F">
        <w:rPr>
          <w:rFonts w:ascii="Arial" w:hAnsi="Arial" w:cs="Arial"/>
          <w:sz w:val="24"/>
          <w:szCs w:val="24"/>
        </w:rPr>
        <w:t>microchannels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resulting in a total channel depth of 143.4 </w:t>
      </w:r>
      <w:r w:rsidRPr="00C4545F">
        <w:rPr>
          <w:rFonts w:ascii="Arial" w:hAnsi="Arial" w:cs="Arial"/>
          <w:sz w:val="24"/>
          <w:szCs w:val="24"/>
        </w:rPr>
        <w:sym w:font="Symbol" w:char="F06D"/>
      </w:r>
      <w:r w:rsidRPr="00C4545F">
        <w:rPr>
          <w:rFonts w:ascii="Arial" w:hAnsi="Arial" w:cs="Arial"/>
          <w:sz w:val="24"/>
          <w:szCs w:val="24"/>
        </w:rPr>
        <w:t xml:space="preserve">m </w:t>
      </w:r>
      <w:r w:rsidRPr="00C4545F">
        <w:rPr>
          <w:rFonts w:ascii="Arial" w:hAnsi="Arial" w:cs="Arial"/>
          <w:sz w:val="24"/>
          <w:szCs w:val="24"/>
        </w:rPr>
        <w:sym w:font="Symbol" w:char="F0B1"/>
      </w:r>
      <w:r w:rsidRPr="00C4545F">
        <w:rPr>
          <w:rFonts w:ascii="Arial" w:hAnsi="Arial" w:cs="Arial"/>
          <w:sz w:val="24"/>
          <w:szCs w:val="24"/>
        </w:rPr>
        <w:t xml:space="preserve"> 2.7. The </w:t>
      </w:r>
      <w:proofErr w:type="spellStart"/>
      <w:r w:rsidRPr="00C4545F">
        <w:rPr>
          <w:rFonts w:ascii="Arial" w:hAnsi="Arial" w:cs="Arial"/>
          <w:sz w:val="24"/>
          <w:szCs w:val="24"/>
        </w:rPr>
        <w:t>Tecanat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holder was then bonded to the laminate stack with silicone glue (RS Components Ltd, Corby, UK) and secured in place using screws. </w:t>
      </w:r>
      <w:proofErr w:type="spellStart"/>
      <w:r w:rsidRPr="00C4545F">
        <w:rPr>
          <w:rFonts w:ascii="Arial" w:hAnsi="Arial" w:cs="Arial"/>
          <w:sz w:val="24"/>
          <w:szCs w:val="24"/>
        </w:rPr>
        <w:t>Transwells</w:t>
      </w:r>
      <w:proofErr w:type="spellEnd"/>
      <w:r w:rsidRPr="00C4545F">
        <w:rPr>
          <w:rFonts w:ascii="Arial" w:hAnsi="Arial" w:cs="Arial"/>
          <w:sz w:val="24"/>
          <w:szCs w:val="24"/>
          <w:vertAlign w:val="superscript"/>
        </w:rPr>
        <w:t>®</w:t>
      </w:r>
      <w:r w:rsidRPr="00C4545F">
        <w:rPr>
          <w:rFonts w:ascii="Arial" w:hAnsi="Arial" w:cs="Arial"/>
          <w:sz w:val="24"/>
          <w:szCs w:val="24"/>
        </w:rPr>
        <w:t xml:space="preserve"> were inserted into the </w:t>
      </w:r>
      <w:proofErr w:type="spellStart"/>
      <w:r w:rsidRPr="00C4545F">
        <w:rPr>
          <w:rFonts w:ascii="Arial" w:hAnsi="Arial" w:cs="Arial"/>
          <w:sz w:val="24"/>
          <w:szCs w:val="24"/>
        </w:rPr>
        <w:t>Tecanat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holder and held in place with silicone V-rings (</w:t>
      </w:r>
      <w:proofErr w:type="spellStart"/>
      <w:r w:rsidRPr="00C4545F">
        <w:rPr>
          <w:rFonts w:ascii="Arial" w:hAnsi="Arial" w:cs="Arial"/>
          <w:sz w:val="24"/>
          <w:szCs w:val="24"/>
        </w:rPr>
        <w:t>Sealforce</w:t>
      </w:r>
      <w:proofErr w:type="spellEnd"/>
      <w:r w:rsidRPr="00C4545F">
        <w:rPr>
          <w:rFonts w:ascii="Arial" w:hAnsi="Arial" w:cs="Arial"/>
          <w:sz w:val="24"/>
          <w:szCs w:val="24"/>
        </w:rPr>
        <w:t>, Dundee, UK). After sterilisation with 70% ethanol and thorough washing, the complete system was located in a humidified incubator at 37°C and 5% CO</w:t>
      </w:r>
      <w:r w:rsidRPr="00C4545F">
        <w:rPr>
          <w:rFonts w:ascii="Arial" w:hAnsi="Arial" w:cs="Arial"/>
          <w:sz w:val="24"/>
          <w:szCs w:val="24"/>
          <w:vertAlign w:val="subscript"/>
        </w:rPr>
        <w:t>2</w:t>
      </w:r>
      <w:r w:rsidRPr="00C4545F">
        <w:rPr>
          <w:rFonts w:ascii="Arial" w:hAnsi="Arial" w:cs="Arial"/>
          <w:sz w:val="24"/>
          <w:szCs w:val="24"/>
        </w:rPr>
        <w:t xml:space="preserve">. Each separate </w:t>
      </w:r>
      <w:proofErr w:type="spellStart"/>
      <w:r w:rsidRPr="00C4545F">
        <w:rPr>
          <w:rFonts w:ascii="Arial" w:hAnsi="Arial" w:cs="Arial"/>
          <w:sz w:val="24"/>
          <w:szCs w:val="24"/>
        </w:rPr>
        <w:t>Transwell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-chamber was connected to a syringe and the flow was controlled with a single 10-syringe pump (Harvard Apparatus, Kent, </w:t>
      </w:r>
      <w:proofErr w:type="gramStart"/>
      <w:r w:rsidRPr="00C4545F">
        <w:rPr>
          <w:rFonts w:ascii="Arial" w:hAnsi="Arial" w:cs="Arial"/>
          <w:sz w:val="24"/>
          <w:szCs w:val="24"/>
        </w:rPr>
        <w:t>UK</w:t>
      </w:r>
      <w:proofErr w:type="gramEnd"/>
      <w:r w:rsidRPr="00C4545F">
        <w:rPr>
          <w:rFonts w:ascii="Arial" w:hAnsi="Arial" w:cs="Arial"/>
          <w:sz w:val="24"/>
          <w:szCs w:val="24"/>
        </w:rPr>
        <w:t>); the fluid from</w:t>
      </w:r>
      <w:r w:rsidRPr="00C4545F">
        <w:rPr>
          <w:rFonts w:ascii="Arial" w:hAnsi="Arial" w:cs="Arial"/>
        </w:rPr>
        <w:t xml:space="preserve"> </w:t>
      </w:r>
      <w:r w:rsidRPr="00C4545F">
        <w:rPr>
          <w:rFonts w:ascii="Arial" w:hAnsi="Arial" w:cs="Arial"/>
          <w:sz w:val="24"/>
          <w:szCs w:val="24"/>
        </w:rPr>
        <w:t xml:space="preserve">underneath the </w:t>
      </w:r>
      <w:proofErr w:type="spellStart"/>
      <w:r w:rsidRPr="00C4545F">
        <w:rPr>
          <w:rFonts w:ascii="Arial" w:hAnsi="Arial" w:cs="Arial"/>
          <w:sz w:val="24"/>
          <w:szCs w:val="24"/>
        </w:rPr>
        <w:t>Transwell</w:t>
      </w:r>
      <w:proofErr w:type="spellEnd"/>
      <w:r w:rsidRPr="00C4545F">
        <w:rPr>
          <w:rFonts w:ascii="Arial" w:hAnsi="Arial" w:cs="Arial"/>
          <w:sz w:val="24"/>
          <w:szCs w:val="24"/>
          <w:vertAlign w:val="superscript"/>
        </w:rPr>
        <w:t>®</w:t>
      </w:r>
      <w:r w:rsidRPr="00C4545F">
        <w:rPr>
          <w:rFonts w:ascii="Arial" w:hAnsi="Arial" w:cs="Arial"/>
          <w:sz w:val="24"/>
          <w:szCs w:val="24"/>
        </w:rPr>
        <w:t xml:space="preserve"> was collected using a custom designed fraction collector. </w:t>
      </w:r>
    </w:p>
    <w:p w:rsidR="00624290" w:rsidRPr="00C4545F" w:rsidRDefault="00624290" w:rsidP="00C4545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545F">
        <w:rPr>
          <w:rFonts w:ascii="Arial" w:hAnsi="Arial" w:cs="Arial"/>
          <w:sz w:val="24"/>
          <w:szCs w:val="24"/>
        </w:rPr>
        <w:t xml:space="preserve">The fraction collector was designed to interface with the microfluidic devices and to automatically collect samples from each of the five </w:t>
      </w:r>
      <w:proofErr w:type="spellStart"/>
      <w:r w:rsidRPr="00C4545F">
        <w:rPr>
          <w:rFonts w:ascii="Arial" w:hAnsi="Arial" w:cs="Arial"/>
          <w:sz w:val="24"/>
          <w:szCs w:val="24"/>
        </w:rPr>
        <w:t>Transwell</w:t>
      </w:r>
      <w:proofErr w:type="spellEnd"/>
      <w:r w:rsidRPr="00C4545F">
        <w:rPr>
          <w:rFonts w:ascii="Arial" w:hAnsi="Arial" w:cs="Arial"/>
          <w:sz w:val="24"/>
          <w:szCs w:val="24"/>
          <w:vertAlign w:val="superscript"/>
        </w:rPr>
        <w:t>®</w:t>
      </w:r>
      <w:r w:rsidRPr="00C4545F">
        <w:rPr>
          <w:rFonts w:ascii="Arial" w:hAnsi="Arial" w:cs="Arial"/>
          <w:sz w:val="24"/>
          <w:szCs w:val="24"/>
        </w:rPr>
        <w:t xml:space="preserve">-chambers at a frequency of typically once per hour or every 2 hrs. The collector held a rack of 0.2 mL microtubes, each of which were covered with a 2 mm thick </w:t>
      </w:r>
      <w:proofErr w:type="gramStart"/>
      <w:r w:rsidRPr="00C4545F">
        <w:rPr>
          <w:rFonts w:ascii="Arial" w:hAnsi="Arial" w:cs="Arial"/>
          <w:sz w:val="24"/>
          <w:szCs w:val="24"/>
        </w:rPr>
        <w:t>poly(</w:t>
      </w:r>
      <w:proofErr w:type="spellStart"/>
      <w:proofErr w:type="gramEnd"/>
      <w:r w:rsidRPr="00C4545F">
        <w:rPr>
          <w:rFonts w:ascii="Arial" w:hAnsi="Arial" w:cs="Arial"/>
          <w:sz w:val="24"/>
          <w:szCs w:val="24"/>
        </w:rPr>
        <w:t>dimethylsiloxane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) (PDMS) membrane to prevent evaporation of the samples. To collect samples, the </w:t>
      </w:r>
      <w:r w:rsidRPr="00C4545F">
        <w:rPr>
          <w:rFonts w:ascii="Arial" w:hAnsi="Arial" w:cs="Arial"/>
          <w:sz w:val="24"/>
          <w:szCs w:val="24"/>
        </w:rPr>
        <w:lastRenderedPageBreak/>
        <w:t xml:space="preserve">fraction collector pushes a set of 5 tubes up against the needles coming from the </w:t>
      </w:r>
      <w:proofErr w:type="spellStart"/>
      <w:r w:rsidRPr="00C4545F">
        <w:rPr>
          <w:rFonts w:ascii="Arial" w:hAnsi="Arial" w:cs="Arial"/>
          <w:sz w:val="24"/>
          <w:szCs w:val="24"/>
        </w:rPr>
        <w:t>Transwell</w:t>
      </w:r>
      <w:proofErr w:type="spellEnd"/>
      <w:r w:rsidRPr="00C4545F">
        <w:rPr>
          <w:rFonts w:ascii="Arial" w:hAnsi="Arial" w:cs="Arial"/>
          <w:sz w:val="24"/>
          <w:szCs w:val="24"/>
          <w:vertAlign w:val="superscript"/>
        </w:rPr>
        <w:t>®</w:t>
      </w:r>
      <w:r w:rsidRPr="00C4545F">
        <w:rPr>
          <w:rFonts w:ascii="Arial" w:hAnsi="Arial" w:cs="Arial"/>
          <w:sz w:val="24"/>
          <w:szCs w:val="24"/>
        </w:rPr>
        <w:t xml:space="preserve"> chambers, piercing the membrane and allowing the culture eluate to be collected. After 1 or 2 hours, the tubes were withdrawn and the next set of 5 tubes was interfaced with the device. </w:t>
      </w:r>
    </w:p>
    <w:p w:rsidR="00624290" w:rsidRPr="00C4545F" w:rsidRDefault="00624290" w:rsidP="00C4545F">
      <w:pPr>
        <w:spacing w:line="480" w:lineRule="auto"/>
        <w:rPr>
          <w:rFonts w:ascii="Arial" w:hAnsi="Arial" w:cs="Arial"/>
          <w:sz w:val="24"/>
          <w:szCs w:val="24"/>
        </w:rPr>
      </w:pPr>
    </w:p>
    <w:p w:rsidR="00624290" w:rsidRPr="00C4545F" w:rsidRDefault="00624290" w:rsidP="004C4EE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4545F">
        <w:rPr>
          <w:rFonts w:ascii="Arial" w:hAnsi="Arial" w:cs="Arial"/>
          <w:i/>
          <w:iCs/>
          <w:sz w:val="24"/>
          <w:szCs w:val="24"/>
        </w:rPr>
        <w:t>Optimisation of the flow channel design</w:t>
      </w:r>
      <w:r w:rsidRPr="00C4545F">
        <w:rPr>
          <w:rFonts w:ascii="Arial" w:hAnsi="Arial" w:cs="Arial"/>
          <w:sz w:val="24"/>
          <w:szCs w:val="24"/>
        </w:rPr>
        <w:t xml:space="preserve">. In designing the flow chamber beneath the </w:t>
      </w:r>
      <w:proofErr w:type="spellStart"/>
      <w:r w:rsidRPr="00C4545F">
        <w:rPr>
          <w:rFonts w:ascii="Arial" w:hAnsi="Arial" w:cs="Arial"/>
          <w:sz w:val="24"/>
          <w:szCs w:val="24"/>
        </w:rPr>
        <w:t>Transwells</w:t>
      </w:r>
      <w:proofErr w:type="spellEnd"/>
      <w:r w:rsidRPr="00C4545F">
        <w:rPr>
          <w:rFonts w:ascii="Arial" w:hAnsi="Arial" w:cs="Arial"/>
          <w:sz w:val="24"/>
          <w:szCs w:val="24"/>
          <w:vertAlign w:val="superscript"/>
        </w:rPr>
        <w:t>®</w:t>
      </w:r>
      <w:r w:rsidRPr="00C4545F">
        <w:rPr>
          <w:rFonts w:ascii="Arial" w:hAnsi="Arial" w:cs="Arial"/>
          <w:sz w:val="24"/>
          <w:szCs w:val="24"/>
        </w:rPr>
        <w:t xml:space="preserve"> it was important to maintain a very low pressure difference (to avoid leakage through the cell layer) and to have a uniform flow velocity across the channel width. A finite element model of the microchannel was built in </w:t>
      </w:r>
      <w:proofErr w:type="spellStart"/>
      <w:r w:rsidRPr="00C4545F">
        <w:rPr>
          <w:rFonts w:ascii="Arial" w:hAnsi="Arial" w:cs="Arial"/>
          <w:sz w:val="24"/>
          <w:szCs w:val="24"/>
        </w:rPr>
        <w:t>Comsol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5F">
        <w:rPr>
          <w:rFonts w:ascii="Arial" w:hAnsi="Arial" w:cs="Arial"/>
          <w:sz w:val="24"/>
          <w:szCs w:val="24"/>
        </w:rPr>
        <w:t>Multiphysics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3.4 (</w:t>
      </w:r>
      <w:proofErr w:type="spellStart"/>
      <w:r w:rsidRPr="00C4545F">
        <w:rPr>
          <w:rFonts w:ascii="Arial" w:hAnsi="Arial" w:cs="Arial"/>
          <w:sz w:val="24"/>
          <w:szCs w:val="24"/>
        </w:rPr>
        <w:t>Comsol</w:t>
      </w:r>
      <w:proofErr w:type="spellEnd"/>
      <w:r w:rsidRPr="00C4545F">
        <w:rPr>
          <w:rFonts w:ascii="Arial" w:hAnsi="Arial" w:cs="Arial"/>
          <w:sz w:val="24"/>
          <w:szCs w:val="24"/>
        </w:rPr>
        <w:t xml:space="preserve"> Inc., Sweden), and an example of a simulation is shown in Fig. 2. At the flow rate used in these experiments (30 µL/hr) the backpressure on the membrane was negligible (</w:t>
      </w:r>
      <w:r w:rsidR="004C4EE5">
        <w:rPr>
          <w:rFonts w:ascii="Symbol" w:hAnsi="Symbol"/>
          <w:sz w:val="24"/>
          <w:szCs w:val="24"/>
          <w:lang w:val="en-US"/>
        </w:rPr>
        <w:t></w:t>
      </w:r>
      <w:r w:rsidRPr="00C4545F">
        <w:rPr>
          <w:rFonts w:ascii="Arial" w:hAnsi="Arial" w:cs="Arial"/>
          <w:sz w:val="24"/>
          <w:szCs w:val="24"/>
        </w:rPr>
        <w:t>P&lt; 1 Pa). The Reynolds number was very low (Re~10</w:t>
      </w:r>
      <w:r w:rsidRPr="00C4545F">
        <w:rPr>
          <w:rFonts w:ascii="Arial" w:hAnsi="Arial" w:cs="Arial"/>
          <w:sz w:val="24"/>
          <w:szCs w:val="24"/>
          <w:vertAlign w:val="superscript"/>
        </w:rPr>
        <w:t>-3</w:t>
      </w:r>
      <w:r w:rsidRPr="00C4545F">
        <w:rPr>
          <w:rFonts w:ascii="Arial" w:hAnsi="Arial" w:cs="Arial"/>
          <w:sz w:val="24"/>
          <w:szCs w:val="24"/>
        </w:rPr>
        <w:t xml:space="preserve">) giving a uniform velocity profile beneath the membrane. </w:t>
      </w:r>
      <w:bookmarkStart w:id="0" w:name="_GoBack"/>
      <w:bookmarkEnd w:id="0"/>
    </w:p>
    <w:sectPr w:rsidR="00624290" w:rsidRPr="00C45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90"/>
    <w:rsid w:val="000638FB"/>
    <w:rsid w:val="00100371"/>
    <w:rsid w:val="00173B96"/>
    <w:rsid w:val="0032238E"/>
    <w:rsid w:val="00340E65"/>
    <w:rsid w:val="004C4EE5"/>
    <w:rsid w:val="0054381B"/>
    <w:rsid w:val="00624290"/>
    <w:rsid w:val="00773859"/>
    <w:rsid w:val="008A6054"/>
    <w:rsid w:val="009824EB"/>
    <w:rsid w:val="00AB4597"/>
    <w:rsid w:val="00C4545F"/>
    <w:rsid w:val="00CB145E"/>
    <w:rsid w:val="00DC4032"/>
    <w:rsid w:val="00E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39ED4-B566-4588-A665-F57D556A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blume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Swindle E.J.</cp:lastModifiedBy>
  <cp:revision>3</cp:revision>
  <dcterms:created xsi:type="dcterms:W3CDTF">2015-09-17T11:33:00Z</dcterms:created>
  <dcterms:modified xsi:type="dcterms:W3CDTF">2015-09-17T11:34:00Z</dcterms:modified>
</cp:coreProperties>
</file>