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D7" w:rsidRDefault="00DD6CD7" w:rsidP="00DD6CD7">
      <w:pPr>
        <w:spacing w:after="120" w:line="276" w:lineRule="auto"/>
        <w:rPr>
          <w:rFonts w:ascii="Times New Roman" w:eastAsia="Calibri" w:hAnsi="Times New Roman"/>
          <w:i/>
          <w:szCs w:val="22"/>
        </w:rPr>
      </w:pPr>
      <w:r>
        <w:rPr>
          <w:rFonts w:ascii="Times New Roman" w:eastAsia="Calibri" w:hAnsi="Times New Roman"/>
          <w:i/>
          <w:szCs w:val="22"/>
        </w:rPr>
        <w:t>Supplementary Table 5</w:t>
      </w:r>
      <w:r w:rsidRPr="007D3D48">
        <w:rPr>
          <w:rFonts w:ascii="Times New Roman" w:eastAsia="Calibri" w:hAnsi="Times New Roman"/>
          <w:i/>
          <w:szCs w:val="22"/>
        </w:rPr>
        <w:t>. Correlations Between the Vineland-II and the BRIEF-C (T Scores)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057"/>
        <w:gridCol w:w="738"/>
        <w:gridCol w:w="372"/>
        <w:gridCol w:w="1223"/>
        <w:gridCol w:w="880"/>
        <w:gridCol w:w="344"/>
        <w:gridCol w:w="1495"/>
        <w:gridCol w:w="1177"/>
        <w:gridCol w:w="358"/>
        <w:gridCol w:w="1200"/>
        <w:gridCol w:w="1143"/>
        <w:gridCol w:w="253"/>
        <w:gridCol w:w="1257"/>
        <w:gridCol w:w="548"/>
        <w:gridCol w:w="463"/>
      </w:tblGrid>
      <w:tr w:rsidR="00B970D4" w:rsidRPr="007D3D48" w:rsidTr="00B970D4">
        <w:tc>
          <w:tcPr>
            <w:tcW w:w="57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Vineland-II Domains</w:t>
            </w:r>
          </w:p>
        </w:tc>
      </w:tr>
      <w:tr w:rsidR="00B970D4" w:rsidRPr="007D3D48" w:rsidTr="00B970D4">
        <w:trPr>
          <w:gridAfter w:val="1"/>
          <w:wAfter w:w="164" w:type="pct"/>
        </w:trPr>
        <w:tc>
          <w:tcPr>
            <w:tcW w:w="577" w:type="pct"/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Maladaptive Behaviour Subscales</w:t>
            </w:r>
          </w:p>
        </w:tc>
      </w:tr>
      <w:tr w:rsidR="00B970D4" w:rsidRPr="007D3D48" w:rsidTr="00B970D4">
        <w:tc>
          <w:tcPr>
            <w:tcW w:w="577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BRIEF-C Clinical Scales, Indices, and GEC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 xml:space="preserve">Adaptive Behaviour Composite </w:t>
            </w:r>
          </w:p>
        </w:tc>
        <w:tc>
          <w:tcPr>
            <w:tcW w:w="132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 xml:space="preserve">Socialisation Domain </w:t>
            </w:r>
          </w:p>
        </w:tc>
        <w:tc>
          <w:tcPr>
            <w:tcW w:w="122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 xml:space="preserve">Maladaptive Behaviour Index </w:t>
            </w:r>
          </w:p>
        </w:tc>
        <w:tc>
          <w:tcPr>
            <w:tcW w:w="127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 xml:space="preserve">Internalising Behaviours </w:t>
            </w: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 xml:space="preserve">Externalising Behaviours </w:t>
            </w:r>
          </w:p>
        </w:tc>
      </w:tr>
      <w:tr w:rsidR="00B970D4" w:rsidRPr="003E536F" w:rsidTr="00B970D4">
        <w:tc>
          <w:tcPr>
            <w:tcW w:w="577" w:type="pct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sz w:val="20"/>
              </w:rPr>
              <w:t>(n = 16)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E536F">
              <w:rPr>
                <w:rFonts w:ascii="Times New Roman" w:hAnsi="Times New Roman"/>
                <w:i/>
                <w:sz w:val="20"/>
              </w:rPr>
              <w:t>p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sz w:val="20"/>
              </w:rPr>
              <w:t>(n = 16)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i/>
                <w:sz w:val="20"/>
              </w:rPr>
              <w:t>p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sz w:val="20"/>
              </w:rPr>
              <w:t>(n = 15)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i/>
                <w:sz w:val="20"/>
              </w:rPr>
              <w:t>p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sz w:val="20"/>
              </w:rPr>
              <w:t>(n = 15)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i/>
                <w:sz w:val="20"/>
              </w:rPr>
              <w:t>p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sz w:val="20"/>
              </w:rPr>
              <w:t>(n = 15)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3E536F">
              <w:rPr>
                <w:rFonts w:ascii="Times New Roman" w:hAnsi="Times New Roman"/>
                <w:i/>
                <w:sz w:val="20"/>
              </w:rPr>
              <w:t>p</w:t>
            </w:r>
          </w:p>
        </w:tc>
      </w:tr>
      <w:tr w:rsidR="00B970D4" w:rsidRPr="003E536F" w:rsidTr="00B970D4">
        <w:tc>
          <w:tcPr>
            <w:tcW w:w="57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BRI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.15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.632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.22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.402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-.18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.718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-.16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.614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.407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7D3D48">
              <w:rPr>
                <w:rFonts w:ascii="Times New Roman" w:hAnsi="Times New Roman"/>
                <w:sz w:val="20"/>
              </w:rPr>
              <w:t>Inhibit</w:t>
            </w:r>
            <w:r w:rsidRPr="007D3D48">
              <w:rPr>
                <w:rFonts w:ascii="Times New Roman" w:hAnsi="Times New Roman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.22</w:t>
            </w:r>
          </w:p>
        </w:tc>
        <w:tc>
          <w:tcPr>
            <w:tcW w:w="261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.573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.26</w:t>
            </w:r>
          </w:p>
        </w:tc>
        <w:tc>
          <w:tcPr>
            <w:tcW w:w="311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.361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-.32</w:t>
            </w:r>
          </w:p>
        </w:tc>
        <w:tc>
          <w:tcPr>
            <w:tcW w:w="416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.314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-.26</w:t>
            </w:r>
          </w:p>
        </w:tc>
        <w:tc>
          <w:tcPr>
            <w:tcW w:w="404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.535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-.07</w:t>
            </w:r>
          </w:p>
        </w:tc>
        <w:tc>
          <w:tcPr>
            <w:tcW w:w="358" w:type="pct"/>
            <w:gridSpan w:val="2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.787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7D3D48">
              <w:rPr>
                <w:rFonts w:ascii="Times New Roman" w:hAnsi="Times New Roman"/>
                <w:sz w:val="20"/>
              </w:rPr>
              <w:t>Shift</w:t>
            </w:r>
            <w:r w:rsidRPr="007D3D48">
              <w:rPr>
                <w:rFonts w:ascii="Times New Roman" w:hAnsi="Times New Roman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-.27</w:t>
            </w:r>
          </w:p>
        </w:tc>
        <w:tc>
          <w:tcPr>
            <w:tcW w:w="261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.397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-.18</w:t>
            </w:r>
          </w:p>
        </w:tc>
        <w:tc>
          <w:tcPr>
            <w:tcW w:w="311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.738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-.27</w:t>
            </w:r>
          </w:p>
        </w:tc>
        <w:tc>
          <w:tcPr>
            <w:tcW w:w="416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.403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-.17</w:t>
            </w:r>
          </w:p>
        </w:tc>
        <w:tc>
          <w:tcPr>
            <w:tcW w:w="404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.542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-.22</w:t>
            </w:r>
          </w:p>
        </w:tc>
        <w:tc>
          <w:tcPr>
            <w:tcW w:w="358" w:type="pct"/>
            <w:gridSpan w:val="2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.741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Emotional Control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.32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.341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.35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.241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.724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-.01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.962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.44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.048</w:t>
            </w:r>
            <w:r w:rsidR="00E93269">
              <w:rPr>
                <w:rFonts w:ascii="Times New Roman" w:hAnsi="Times New Roman"/>
                <w:sz w:val="20"/>
              </w:rPr>
              <w:t>*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MI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-.13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.833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-.10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.944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.13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.889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-.13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.453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.23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.694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Initiate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-.10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.909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-.13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.876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.752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-.06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.751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.559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Working Memory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-.09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.950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-.13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.913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-.09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.803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.197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-.11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.803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Plan/Organise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-.18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.757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-.17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.806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.22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.712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-.01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.750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.31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.591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Org. of Materials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.13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.968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.20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.820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-.01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.949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-.15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.699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.06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.715</w:t>
            </w:r>
          </w:p>
        </w:tc>
      </w:tr>
      <w:tr w:rsidR="00B970D4" w:rsidRPr="003E536F" w:rsidTr="00B970D4">
        <w:tc>
          <w:tcPr>
            <w:tcW w:w="577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ab/>
              <w:t>Monitor</w:t>
            </w:r>
          </w:p>
        </w:tc>
        <w:tc>
          <w:tcPr>
            <w:tcW w:w="374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-.22</w:t>
            </w:r>
          </w:p>
        </w:tc>
        <w:tc>
          <w:tcPr>
            <w:tcW w:w="26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.747</w:t>
            </w:r>
          </w:p>
        </w:tc>
        <w:tc>
          <w:tcPr>
            <w:tcW w:w="13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pct"/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-.12</w:t>
            </w:r>
          </w:p>
        </w:tc>
        <w:tc>
          <w:tcPr>
            <w:tcW w:w="311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.840</w:t>
            </w:r>
          </w:p>
        </w:tc>
        <w:tc>
          <w:tcPr>
            <w:tcW w:w="122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416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.960</w:t>
            </w:r>
          </w:p>
        </w:tc>
        <w:tc>
          <w:tcPr>
            <w:tcW w:w="127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-.08</w:t>
            </w:r>
          </w:p>
        </w:tc>
        <w:tc>
          <w:tcPr>
            <w:tcW w:w="404" w:type="pct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.532</w:t>
            </w:r>
          </w:p>
        </w:tc>
        <w:tc>
          <w:tcPr>
            <w:tcW w:w="90" w:type="pct"/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sz w:val="20"/>
              </w:rPr>
            </w:pPr>
            <w:r w:rsidRPr="007D3D48">
              <w:rPr>
                <w:rFonts w:ascii="Times New Roman" w:hAnsi="Times New Roman"/>
                <w:sz w:val="20"/>
              </w:rPr>
              <w:t>.23</w:t>
            </w:r>
          </w:p>
        </w:tc>
        <w:tc>
          <w:tcPr>
            <w:tcW w:w="358" w:type="pct"/>
            <w:gridSpan w:val="2"/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.644</w:t>
            </w:r>
          </w:p>
        </w:tc>
      </w:tr>
      <w:tr w:rsidR="00B970D4" w:rsidRPr="003E536F" w:rsidTr="00B970D4">
        <w:tc>
          <w:tcPr>
            <w:tcW w:w="577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GEC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-.03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.939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.00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.748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.03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.944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-.17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.476</w:t>
            </w: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B970D4" w:rsidRPr="003E536F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B970D4" w:rsidRPr="007D3D48" w:rsidRDefault="00B970D4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D3D48">
              <w:rPr>
                <w:rFonts w:ascii="Times New Roman" w:hAnsi="Times New Roman"/>
                <w:b/>
                <w:sz w:val="20"/>
              </w:rPr>
              <w:t>.15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B970D4" w:rsidRPr="003E536F" w:rsidRDefault="00F80EAA" w:rsidP="00DF3A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.532</w:t>
            </w:r>
          </w:p>
        </w:tc>
      </w:tr>
    </w:tbl>
    <w:p w:rsidR="00DD6CD7" w:rsidRPr="007D3D48" w:rsidRDefault="00DD6CD7" w:rsidP="00DD6CD7">
      <w:pPr>
        <w:spacing w:before="80" w:line="276" w:lineRule="auto"/>
        <w:rPr>
          <w:rFonts w:ascii="Times New Roman" w:eastAsia="Calibri" w:hAnsi="Times New Roman"/>
          <w:sz w:val="22"/>
          <w:szCs w:val="22"/>
        </w:rPr>
      </w:pPr>
      <w:r w:rsidRPr="007D3D48">
        <w:rPr>
          <w:rFonts w:ascii="Times New Roman" w:eastAsia="Calibri" w:hAnsi="Times New Roman"/>
          <w:i/>
          <w:sz w:val="22"/>
          <w:szCs w:val="22"/>
        </w:rPr>
        <w:t>Note.</w:t>
      </w:r>
      <w:r w:rsidRPr="007D3D48">
        <w:rPr>
          <w:rFonts w:ascii="Times New Roman" w:eastAsia="Calibri" w:hAnsi="Times New Roman"/>
          <w:sz w:val="22"/>
          <w:szCs w:val="22"/>
        </w:rPr>
        <w:t xml:space="preserve">  Scores represent Pearson’s correlation coefficient.</w:t>
      </w:r>
    </w:p>
    <w:p w:rsidR="00DD6CD7" w:rsidRPr="007D3D48" w:rsidRDefault="00DD6CD7" w:rsidP="00DD6CD7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proofErr w:type="gramStart"/>
      <w:r w:rsidRPr="007D3D48">
        <w:rPr>
          <w:rFonts w:ascii="Times New Roman" w:eastAsia="Calibri" w:hAnsi="Times New Roman"/>
          <w:sz w:val="22"/>
          <w:szCs w:val="22"/>
          <w:vertAlign w:val="superscript"/>
        </w:rPr>
        <w:t>a</w:t>
      </w:r>
      <w:proofErr w:type="gramEnd"/>
      <w:r w:rsidRPr="007D3D48">
        <w:rPr>
          <w:rFonts w:ascii="Times New Roman" w:eastAsia="Calibri" w:hAnsi="Times New Roman"/>
          <w:sz w:val="22"/>
          <w:szCs w:val="22"/>
        </w:rPr>
        <w:t xml:space="preserve"> Spearmen’s Rho correlation coefficient between the BRIEF-C Inhibit scale </w:t>
      </w:r>
      <w:r w:rsidRPr="007D3D48">
        <w:rPr>
          <w:rFonts w:ascii="Times New Roman" w:eastAsia="Calibri" w:hAnsi="Times New Roman"/>
          <w:i/>
          <w:sz w:val="22"/>
          <w:szCs w:val="22"/>
        </w:rPr>
        <w:t xml:space="preserve">T </w:t>
      </w:r>
      <w:r w:rsidRPr="007D3D48">
        <w:rPr>
          <w:rFonts w:ascii="Times New Roman" w:eastAsia="Calibri" w:hAnsi="Times New Roman"/>
          <w:sz w:val="22"/>
          <w:szCs w:val="22"/>
        </w:rPr>
        <w:t xml:space="preserve">score and the Vineland-II domains.  </w:t>
      </w:r>
      <w:proofErr w:type="gramStart"/>
      <w:r w:rsidRPr="007D3D48">
        <w:rPr>
          <w:rFonts w:ascii="Times New Roman" w:eastAsia="Calibri" w:hAnsi="Times New Roman"/>
          <w:sz w:val="22"/>
          <w:szCs w:val="22"/>
          <w:vertAlign w:val="superscript"/>
        </w:rPr>
        <w:t>b</w:t>
      </w:r>
      <w:proofErr w:type="gramEnd"/>
      <w:r w:rsidRPr="007D3D48">
        <w:rPr>
          <w:rFonts w:ascii="Times New Roman" w:eastAsia="Calibri" w:hAnsi="Times New Roman"/>
          <w:sz w:val="22"/>
          <w:szCs w:val="22"/>
        </w:rPr>
        <w:t xml:space="preserve"> Spearmen’s Rho correlation coefficient between the BRIEF-C Shift scale </w:t>
      </w:r>
      <w:r w:rsidRPr="007D3D48">
        <w:rPr>
          <w:rFonts w:ascii="Times New Roman" w:eastAsia="Calibri" w:hAnsi="Times New Roman"/>
          <w:i/>
          <w:sz w:val="22"/>
          <w:szCs w:val="22"/>
        </w:rPr>
        <w:t>T</w:t>
      </w:r>
      <w:r w:rsidRPr="007D3D48">
        <w:rPr>
          <w:rFonts w:ascii="Times New Roman" w:eastAsia="Calibri" w:hAnsi="Times New Roman"/>
          <w:sz w:val="22"/>
          <w:szCs w:val="22"/>
        </w:rPr>
        <w:t xml:space="preserve"> score and the Vineland-II domains.</w:t>
      </w:r>
    </w:p>
    <w:p w:rsidR="00923D1B" w:rsidRDefault="00DD6CD7" w:rsidP="005F394B">
      <w:pPr>
        <w:spacing w:after="200" w:line="276" w:lineRule="auto"/>
      </w:pPr>
      <w:bookmarkStart w:id="0" w:name="_GoBack"/>
      <w:bookmarkEnd w:id="0"/>
      <w:r w:rsidRPr="007D3D48">
        <w:rPr>
          <w:rFonts w:ascii="Times New Roman" w:eastAsia="Calibri" w:hAnsi="Times New Roman"/>
          <w:sz w:val="22"/>
          <w:szCs w:val="22"/>
        </w:rPr>
        <w:t xml:space="preserve">* </w:t>
      </w:r>
      <w:r w:rsidRPr="007D3D48">
        <w:rPr>
          <w:rFonts w:ascii="Times New Roman" w:eastAsia="Calibri" w:hAnsi="Times New Roman"/>
          <w:i/>
          <w:sz w:val="22"/>
          <w:szCs w:val="22"/>
        </w:rPr>
        <w:t xml:space="preserve">p </w:t>
      </w:r>
      <w:r w:rsidRPr="007D3D48">
        <w:rPr>
          <w:rFonts w:ascii="Times New Roman" w:eastAsia="Calibri" w:hAnsi="Times New Roman"/>
          <w:sz w:val="22"/>
          <w:szCs w:val="22"/>
        </w:rPr>
        <w:t>&lt; 0.05.</w:t>
      </w:r>
    </w:p>
    <w:sectPr w:rsidR="00923D1B" w:rsidSect="00F80EAA">
      <w:pgSz w:w="16840" w:h="11900" w:orient="landscape"/>
      <w:pgMar w:top="125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7"/>
    <w:rsid w:val="000A1E27"/>
    <w:rsid w:val="002215E7"/>
    <w:rsid w:val="00385214"/>
    <w:rsid w:val="005267D6"/>
    <w:rsid w:val="005F394B"/>
    <w:rsid w:val="00923D1B"/>
    <w:rsid w:val="00B970D4"/>
    <w:rsid w:val="00DD6CD7"/>
    <w:rsid w:val="00E53F20"/>
    <w:rsid w:val="00E93269"/>
    <w:rsid w:val="00ED12CC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D7"/>
    <w:rPr>
      <w:rFonts w:ascii="Cambria" w:eastAsia="Cambria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D6CD7"/>
    <w:rPr>
      <w:rFonts w:ascii="Calibri" w:eastAsia="Calibri" w:hAnsi="Calibri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D7"/>
    <w:rPr>
      <w:rFonts w:ascii="Cambria" w:eastAsia="Cambria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D6CD7"/>
    <w:rPr>
      <w:rFonts w:ascii="Calibri" w:eastAsia="Calibri" w:hAnsi="Calibri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Hocking</dc:creator>
  <cp:lastModifiedBy>Darren Hocking</cp:lastModifiedBy>
  <cp:revision>2</cp:revision>
  <dcterms:created xsi:type="dcterms:W3CDTF">2015-06-23T04:02:00Z</dcterms:created>
  <dcterms:modified xsi:type="dcterms:W3CDTF">2015-06-23T04:02:00Z</dcterms:modified>
</cp:coreProperties>
</file>