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7BF35" w14:textId="77777777" w:rsidR="005B2107" w:rsidRPr="00F915E3" w:rsidRDefault="005B2107" w:rsidP="005B2107">
      <w:pPr>
        <w:tabs>
          <w:tab w:val="left" w:pos="720"/>
        </w:tabs>
        <w:spacing w:line="480" w:lineRule="auto"/>
        <w:rPr>
          <w:rFonts w:ascii="Arial" w:eastAsia="Arial" w:hAnsi="Arial" w:cs="Arial"/>
          <w:b/>
          <w:sz w:val="22"/>
          <w:szCs w:val="22"/>
        </w:rPr>
      </w:pPr>
      <w:bookmarkStart w:id="0" w:name="_GoBack"/>
      <w:r w:rsidRPr="00F915E3">
        <w:rPr>
          <w:rFonts w:ascii="Arial"/>
          <w:b/>
          <w:sz w:val="22"/>
          <w:szCs w:val="22"/>
        </w:rPr>
        <w:t>Supplementary table 1</w:t>
      </w:r>
      <w:r w:rsidRPr="00F915E3">
        <w:rPr>
          <w:rFonts w:hAnsi="Arial Unicode MS"/>
          <w:b/>
          <w:sz w:val="22"/>
          <w:szCs w:val="22"/>
        </w:rPr>
        <w:t xml:space="preserve"> </w:t>
      </w:r>
      <w:r w:rsidRPr="00F915E3">
        <w:rPr>
          <w:rFonts w:hAnsi="Arial Unicode MS"/>
          <w:b/>
          <w:sz w:val="22"/>
          <w:szCs w:val="22"/>
        </w:rPr>
        <w:t>–</w:t>
      </w:r>
      <w:r w:rsidRPr="00F915E3">
        <w:rPr>
          <w:rFonts w:hAnsi="Arial Unicode MS"/>
          <w:b/>
          <w:sz w:val="22"/>
          <w:szCs w:val="22"/>
        </w:rPr>
        <w:t xml:space="preserve"> </w:t>
      </w:r>
      <w:r w:rsidRPr="00F915E3">
        <w:rPr>
          <w:rFonts w:ascii="Arial"/>
          <w:b/>
          <w:sz w:val="22"/>
          <w:szCs w:val="22"/>
        </w:rPr>
        <w:t>Analysis plan</w:t>
      </w:r>
    </w:p>
    <w:bookmarkEnd w:id="0"/>
    <w:p w14:paraId="600F2626" w14:textId="77777777" w:rsidR="005B2107" w:rsidRPr="00DD066A" w:rsidRDefault="005B2107" w:rsidP="005B2107">
      <w:pPr>
        <w:tabs>
          <w:tab w:val="left" w:pos="720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40376E19" w14:textId="77777777" w:rsidR="005B2107" w:rsidRPr="00DD066A" w:rsidRDefault="005B2107" w:rsidP="005B2107">
      <w:pPr>
        <w:tabs>
          <w:tab w:val="left" w:pos="720"/>
        </w:tabs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D066A">
        <w:rPr>
          <w:rFonts w:ascii="Arial"/>
          <w:b/>
          <w:bCs/>
          <w:sz w:val="22"/>
          <w:szCs w:val="22"/>
        </w:rPr>
        <w:t xml:space="preserve">Long-term Efficacy and Safety of an </w:t>
      </w:r>
      <w:proofErr w:type="spellStart"/>
      <w:r w:rsidRPr="00DD066A">
        <w:rPr>
          <w:rFonts w:ascii="Arial"/>
          <w:b/>
          <w:bCs/>
          <w:sz w:val="22"/>
          <w:szCs w:val="22"/>
        </w:rPr>
        <w:t>Everolimus</w:t>
      </w:r>
      <w:proofErr w:type="spellEnd"/>
      <w:r w:rsidRPr="00DD066A">
        <w:rPr>
          <w:rFonts w:ascii="Arial"/>
          <w:b/>
          <w:bCs/>
          <w:sz w:val="22"/>
          <w:szCs w:val="22"/>
        </w:rPr>
        <w:t xml:space="preserve">- vs. a </w:t>
      </w:r>
      <w:proofErr w:type="spellStart"/>
      <w:r w:rsidRPr="00DD066A">
        <w:rPr>
          <w:rFonts w:ascii="Arial"/>
          <w:b/>
          <w:bCs/>
          <w:sz w:val="22"/>
          <w:szCs w:val="22"/>
        </w:rPr>
        <w:t>Mycophenolate</w:t>
      </w:r>
      <w:proofErr w:type="spellEnd"/>
      <w:r w:rsidRPr="00DD066A">
        <w:rPr>
          <w:rFonts w:ascii="Arial"/>
          <w:b/>
          <w:bCs/>
          <w:sz w:val="22"/>
          <w:szCs w:val="22"/>
        </w:rPr>
        <w:t xml:space="preserve"> </w:t>
      </w:r>
      <w:proofErr w:type="spellStart"/>
      <w:r w:rsidRPr="00DD066A">
        <w:rPr>
          <w:rFonts w:ascii="Arial"/>
          <w:b/>
          <w:bCs/>
          <w:sz w:val="22"/>
          <w:szCs w:val="22"/>
        </w:rPr>
        <w:t>Mofetil</w:t>
      </w:r>
      <w:proofErr w:type="spellEnd"/>
      <w:r w:rsidRPr="00DD066A">
        <w:rPr>
          <w:rFonts w:ascii="Arial"/>
          <w:b/>
          <w:bCs/>
          <w:sz w:val="22"/>
          <w:szCs w:val="22"/>
        </w:rPr>
        <w:t>-based Reg</w:t>
      </w:r>
      <w:r w:rsidRPr="00DD066A">
        <w:rPr>
          <w:rFonts w:ascii="Arial"/>
          <w:b/>
          <w:bCs/>
          <w:sz w:val="22"/>
          <w:szCs w:val="22"/>
        </w:rPr>
        <w:t>i</w:t>
      </w:r>
      <w:r w:rsidRPr="00DD066A">
        <w:rPr>
          <w:rFonts w:ascii="Arial"/>
          <w:b/>
          <w:bCs/>
          <w:sz w:val="22"/>
          <w:szCs w:val="22"/>
        </w:rPr>
        <w:t>men in Pediatric Renal Transplant Recipients: a Case-Control Study within the CERTAIN Registry</w:t>
      </w:r>
    </w:p>
    <w:p w14:paraId="29879D4F" w14:textId="77777777" w:rsidR="005B2107" w:rsidRPr="00DD066A" w:rsidRDefault="005B2107" w:rsidP="005B2107">
      <w:pPr>
        <w:tabs>
          <w:tab w:val="left" w:pos="720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52AAAC93" w14:textId="77777777" w:rsidR="005B2107" w:rsidRPr="00DD066A" w:rsidRDefault="005B2107" w:rsidP="005B2107">
      <w:pPr>
        <w:tabs>
          <w:tab w:val="left" w:pos="720"/>
        </w:tabs>
        <w:spacing w:line="480" w:lineRule="auto"/>
        <w:jc w:val="both"/>
        <w:rPr>
          <w:rFonts w:ascii="Arial" w:eastAsia="Arial" w:hAnsi="Arial" w:cs="Arial"/>
          <w:sz w:val="22"/>
          <w:szCs w:val="22"/>
          <w:vertAlign w:val="superscript"/>
        </w:rPr>
      </w:pPr>
      <w:r w:rsidRPr="00DD066A">
        <w:rPr>
          <w:rFonts w:ascii="Arial"/>
          <w:sz w:val="22"/>
          <w:szCs w:val="22"/>
        </w:rPr>
        <w:t xml:space="preserve">Lena </w:t>
      </w:r>
      <w:proofErr w:type="spellStart"/>
      <w:r w:rsidRPr="00DD066A">
        <w:rPr>
          <w:rFonts w:ascii="Arial"/>
          <w:sz w:val="22"/>
          <w:szCs w:val="22"/>
        </w:rPr>
        <w:t>Brunkhorst</w:t>
      </w:r>
      <w:proofErr w:type="spellEnd"/>
      <w:r w:rsidRPr="00DD066A">
        <w:rPr>
          <w:rFonts w:ascii="Arial"/>
          <w:sz w:val="22"/>
          <w:szCs w:val="22"/>
        </w:rPr>
        <w:t xml:space="preserve">, Alexander </w:t>
      </w:r>
      <w:proofErr w:type="spellStart"/>
      <w:r w:rsidRPr="00DD066A">
        <w:rPr>
          <w:rFonts w:ascii="Arial"/>
          <w:sz w:val="22"/>
          <w:szCs w:val="22"/>
        </w:rPr>
        <w:t>Fichtner</w:t>
      </w:r>
      <w:proofErr w:type="spellEnd"/>
      <w:r w:rsidRPr="00DD066A">
        <w:rPr>
          <w:rFonts w:ascii="Arial"/>
          <w:sz w:val="22"/>
          <w:szCs w:val="22"/>
        </w:rPr>
        <w:t>,</w:t>
      </w:r>
      <w:r w:rsidRPr="00DD066A">
        <w:rPr>
          <w:rFonts w:ascii="Arial"/>
          <w:sz w:val="22"/>
          <w:szCs w:val="22"/>
          <w:vertAlign w:val="superscript"/>
        </w:rPr>
        <w:t xml:space="preserve"> </w:t>
      </w:r>
      <w:r w:rsidRPr="00DD066A">
        <w:rPr>
          <w:rFonts w:ascii="Arial"/>
          <w:sz w:val="22"/>
          <w:szCs w:val="22"/>
        </w:rPr>
        <w:t xml:space="preserve">Britta </w:t>
      </w:r>
      <w:proofErr w:type="spellStart"/>
      <w:r w:rsidRPr="00DD066A">
        <w:rPr>
          <w:rFonts w:ascii="Arial"/>
          <w:sz w:val="22"/>
          <w:szCs w:val="22"/>
        </w:rPr>
        <w:t>Hoecker</w:t>
      </w:r>
      <w:proofErr w:type="spellEnd"/>
      <w:r w:rsidRPr="00DD066A">
        <w:rPr>
          <w:rFonts w:ascii="Arial"/>
          <w:sz w:val="22"/>
          <w:szCs w:val="22"/>
        </w:rPr>
        <w:t xml:space="preserve">, Greta </w:t>
      </w:r>
      <w:proofErr w:type="spellStart"/>
      <w:r w:rsidRPr="00DD066A">
        <w:rPr>
          <w:rFonts w:ascii="Arial"/>
          <w:sz w:val="22"/>
          <w:szCs w:val="22"/>
        </w:rPr>
        <w:t>Burmeister</w:t>
      </w:r>
      <w:proofErr w:type="spellEnd"/>
      <w:r w:rsidRPr="00DD066A">
        <w:rPr>
          <w:rFonts w:ascii="Arial"/>
          <w:sz w:val="22"/>
          <w:szCs w:val="22"/>
        </w:rPr>
        <w:t xml:space="preserve">, </w:t>
      </w:r>
      <w:proofErr w:type="spellStart"/>
      <w:r w:rsidRPr="00DD066A">
        <w:rPr>
          <w:rFonts w:ascii="Arial"/>
          <w:sz w:val="22"/>
          <w:szCs w:val="22"/>
        </w:rPr>
        <w:t>Thurid</w:t>
      </w:r>
      <w:proofErr w:type="spellEnd"/>
      <w:r w:rsidRPr="00DD066A">
        <w:rPr>
          <w:rFonts w:ascii="Arial"/>
          <w:sz w:val="22"/>
          <w:szCs w:val="22"/>
        </w:rPr>
        <w:t xml:space="preserve"> </w:t>
      </w:r>
      <w:proofErr w:type="spellStart"/>
      <w:r w:rsidRPr="00DD066A">
        <w:rPr>
          <w:rFonts w:ascii="Arial"/>
          <w:sz w:val="22"/>
          <w:szCs w:val="22"/>
        </w:rPr>
        <w:t>Ahlenstiel-Grunow</w:t>
      </w:r>
      <w:proofErr w:type="spellEnd"/>
      <w:r w:rsidRPr="00DD066A">
        <w:rPr>
          <w:rFonts w:ascii="Arial"/>
          <w:sz w:val="22"/>
          <w:szCs w:val="22"/>
        </w:rPr>
        <w:t xml:space="preserve">, Kai </w:t>
      </w:r>
      <w:proofErr w:type="spellStart"/>
      <w:r w:rsidRPr="00DD066A">
        <w:rPr>
          <w:rFonts w:ascii="Arial"/>
          <w:sz w:val="22"/>
          <w:szCs w:val="22"/>
        </w:rPr>
        <w:t>Krupka</w:t>
      </w:r>
      <w:proofErr w:type="spellEnd"/>
      <w:r w:rsidRPr="00DD066A">
        <w:rPr>
          <w:rFonts w:ascii="Arial"/>
          <w:sz w:val="22"/>
          <w:szCs w:val="22"/>
        </w:rPr>
        <w:t xml:space="preserve">, Martin Bald, Antonia Zapf, </w:t>
      </w:r>
      <w:proofErr w:type="spellStart"/>
      <w:r w:rsidRPr="00DD066A">
        <w:rPr>
          <w:rFonts w:ascii="Arial"/>
          <w:sz w:val="22"/>
          <w:szCs w:val="22"/>
        </w:rPr>
        <w:t>Burkhard</w:t>
      </w:r>
      <w:proofErr w:type="spellEnd"/>
      <w:r w:rsidRPr="00DD066A">
        <w:rPr>
          <w:rFonts w:ascii="Arial"/>
          <w:sz w:val="22"/>
          <w:szCs w:val="22"/>
        </w:rPr>
        <w:t xml:space="preserve"> </w:t>
      </w:r>
      <w:proofErr w:type="spellStart"/>
      <w:r w:rsidRPr="00DD066A">
        <w:rPr>
          <w:rFonts w:ascii="Arial"/>
          <w:sz w:val="22"/>
          <w:szCs w:val="22"/>
        </w:rPr>
        <w:t>T</w:t>
      </w:r>
      <w:r w:rsidRPr="00DD066A">
        <w:rPr>
          <w:rFonts w:hAnsi="Arial Unicode MS"/>
          <w:sz w:val="22"/>
          <w:szCs w:val="22"/>
        </w:rPr>
        <w:t>ö</w:t>
      </w:r>
      <w:r w:rsidRPr="00DD066A">
        <w:rPr>
          <w:rFonts w:ascii="Arial"/>
          <w:sz w:val="22"/>
          <w:szCs w:val="22"/>
        </w:rPr>
        <w:t>nshoff</w:t>
      </w:r>
      <w:proofErr w:type="spellEnd"/>
      <w:r w:rsidRPr="00DD066A">
        <w:rPr>
          <w:rFonts w:ascii="Arial"/>
          <w:sz w:val="22"/>
          <w:szCs w:val="22"/>
        </w:rPr>
        <w:t xml:space="preserve">, Lars </w:t>
      </w:r>
      <w:proofErr w:type="spellStart"/>
      <w:r w:rsidRPr="00DD066A">
        <w:rPr>
          <w:rFonts w:ascii="Arial"/>
          <w:sz w:val="22"/>
          <w:szCs w:val="22"/>
        </w:rPr>
        <w:t>Pape</w:t>
      </w:r>
      <w:proofErr w:type="spellEnd"/>
    </w:p>
    <w:p w14:paraId="78AB6B2D" w14:textId="77777777" w:rsidR="005B2107" w:rsidRPr="00DD066A" w:rsidRDefault="005B2107" w:rsidP="005B2107">
      <w:pPr>
        <w:tabs>
          <w:tab w:val="left" w:pos="720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633B8D24" w14:textId="77777777" w:rsidR="005B2107" w:rsidRPr="00DD066A" w:rsidRDefault="005B2107" w:rsidP="005B2107">
      <w:pPr>
        <w:pStyle w:val="Listenabsatz"/>
        <w:numPr>
          <w:ilvl w:val="0"/>
          <w:numId w:val="1"/>
        </w:numPr>
        <w:spacing w:line="480" w:lineRule="auto"/>
        <w:ind w:left="785" w:hanging="785"/>
        <w:jc w:val="both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0DD066A">
        <w:rPr>
          <w:rFonts w:ascii="Arial"/>
          <w:b/>
          <w:bCs/>
          <w:sz w:val="22"/>
          <w:szCs w:val="22"/>
        </w:rPr>
        <w:t xml:space="preserve">Study </w:t>
      </w:r>
      <w:proofErr w:type="spellStart"/>
      <w:r w:rsidRPr="00DD066A">
        <w:rPr>
          <w:rFonts w:ascii="Arial"/>
          <w:b/>
          <w:bCs/>
          <w:sz w:val="22"/>
          <w:szCs w:val="22"/>
        </w:rPr>
        <w:t>Aims</w:t>
      </w:r>
      <w:proofErr w:type="spellEnd"/>
    </w:p>
    <w:p w14:paraId="7EA27837" w14:textId="77777777" w:rsidR="005B2107" w:rsidRPr="00DD066A" w:rsidRDefault="005B2107" w:rsidP="005B2107">
      <w:pPr>
        <w:pStyle w:val="Listenabsatz"/>
        <w:numPr>
          <w:ilvl w:val="1"/>
          <w:numId w:val="2"/>
        </w:numPr>
        <w:spacing w:line="480" w:lineRule="auto"/>
        <w:ind w:left="851" w:hanging="491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DD066A">
        <w:rPr>
          <w:rFonts w:ascii="Arial"/>
          <w:sz w:val="22"/>
          <w:szCs w:val="22"/>
          <w:lang w:val="en-US"/>
        </w:rPr>
        <w:t>To determine the long-term (4 years post-transplant) efficacy and tolerability of a new i</w:t>
      </w:r>
      <w:r w:rsidRPr="00DD066A">
        <w:rPr>
          <w:rFonts w:ascii="Arial"/>
          <w:sz w:val="22"/>
          <w:szCs w:val="22"/>
          <w:lang w:val="en-US"/>
        </w:rPr>
        <w:t>m</w:t>
      </w:r>
      <w:r w:rsidRPr="00DD066A">
        <w:rPr>
          <w:rFonts w:ascii="Arial"/>
          <w:sz w:val="22"/>
          <w:szCs w:val="22"/>
          <w:lang w:val="en-US"/>
        </w:rPr>
        <w:t xml:space="preserve">munosuppressive regimen consisting of </w:t>
      </w:r>
      <w:proofErr w:type="spellStart"/>
      <w:r w:rsidRPr="00DD066A">
        <w:rPr>
          <w:rFonts w:ascii="Arial"/>
          <w:sz w:val="22"/>
          <w:szCs w:val="22"/>
          <w:lang w:val="en-US"/>
        </w:rPr>
        <w:t>basiliximab</w:t>
      </w:r>
      <w:proofErr w:type="spellEnd"/>
      <w:r w:rsidRPr="00DD066A">
        <w:rPr>
          <w:rFonts w:ascii="Arial"/>
          <w:sz w:val="22"/>
          <w:szCs w:val="22"/>
          <w:lang w:val="en-US"/>
        </w:rPr>
        <w:t xml:space="preserve">, low-dose cyclosporine </w:t>
      </w:r>
      <w:proofErr w:type="gramStart"/>
      <w:r w:rsidRPr="00DD066A">
        <w:rPr>
          <w:rFonts w:ascii="Arial"/>
          <w:sz w:val="22"/>
          <w:szCs w:val="22"/>
          <w:lang w:val="en-US"/>
        </w:rPr>
        <w:t>A</w:t>
      </w:r>
      <w:proofErr w:type="gramEnd"/>
      <w:r w:rsidRPr="00DD066A">
        <w:rPr>
          <w:rFonts w:ascii="Arial"/>
          <w:sz w:val="22"/>
          <w:szCs w:val="22"/>
          <w:lang w:val="en-US"/>
        </w:rPr>
        <w:t xml:space="preserve">, </w:t>
      </w:r>
      <w:proofErr w:type="spellStart"/>
      <w:r w:rsidRPr="00DD066A">
        <w:rPr>
          <w:rFonts w:ascii="Arial"/>
          <w:sz w:val="22"/>
          <w:szCs w:val="22"/>
          <w:lang w:val="en-US"/>
        </w:rPr>
        <w:t>everolimus</w:t>
      </w:r>
      <w:proofErr w:type="spellEnd"/>
      <w:r w:rsidRPr="00DD066A">
        <w:rPr>
          <w:rFonts w:ascii="Arial"/>
          <w:sz w:val="22"/>
          <w:szCs w:val="22"/>
          <w:lang w:val="en-US"/>
        </w:rPr>
        <w:t xml:space="preserve"> and steroid elimination within the first year post-transplant compared to a standard reg</w:t>
      </w:r>
      <w:r w:rsidRPr="00DD066A">
        <w:rPr>
          <w:rFonts w:ascii="Arial"/>
          <w:sz w:val="22"/>
          <w:szCs w:val="22"/>
          <w:lang w:val="en-US"/>
        </w:rPr>
        <w:t>i</w:t>
      </w:r>
      <w:r w:rsidRPr="00DD066A">
        <w:rPr>
          <w:rFonts w:ascii="Arial"/>
          <w:sz w:val="22"/>
          <w:szCs w:val="22"/>
          <w:lang w:val="en-US"/>
        </w:rPr>
        <w:t xml:space="preserve">men consisting of a </w:t>
      </w:r>
      <w:proofErr w:type="spellStart"/>
      <w:r w:rsidRPr="00DD066A">
        <w:rPr>
          <w:rFonts w:ascii="Arial"/>
          <w:sz w:val="22"/>
          <w:szCs w:val="22"/>
          <w:lang w:val="en-US"/>
        </w:rPr>
        <w:t>calcineurin</w:t>
      </w:r>
      <w:proofErr w:type="spellEnd"/>
      <w:r w:rsidRPr="00DD066A">
        <w:rPr>
          <w:rFonts w:ascii="Arial"/>
          <w:sz w:val="22"/>
          <w:szCs w:val="22"/>
          <w:lang w:val="en-US"/>
        </w:rPr>
        <w:t xml:space="preserve"> inhibitor, </w:t>
      </w:r>
      <w:proofErr w:type="spellStart"/>
      <w:r w:rsidRPr="00DD066A">
        <w:rPr>
          <w:rFonts w:ascii="Arial"/>
          <w:sz w:val="22"/>
          <w:szCs w:val="22"/>
          <w:lang w:val="en-US"/>
        </w:rPr>
        <w:t>mycophenolate</w:t>
      </w:r>
      <w:proofErr w:type="spellEnd"/>
      <w:r w:rsidRPr="00DD066A">
        <w:rPr>
          <w:rFonts w:ascii="Arial"/>
          <w:sz w:val="22"/>
          <w:szCs w:val="22"/>
          <w:lang w:val="en-US"/>
        </w:rPr>
        <w:t xml:space="preserve"> </w:t>
      </w:r>
      <w:proofErr w:type="spellStart"/>
      <w:r w:rsidRPr="00DD066A">
        <w:rPr>
          <w:rFonts w:ascii="Arial"/>
          <w:sz w:val="22"/>
          <w:szCs w:val="22"/>
          <w:lang w:val="en-US"/>
        </w:rPr>
        <w:t>mofetil</w:t>
      </w:r>
      <w:proofErr w:type="spellEnd"/>
      <w:r w:rsidRPr="00DD066A">
        <w:rPr>
          <w:rFonts w:ascii="Arial"/>
          <w:sz w:val="22"/>
          <w:szCs w:val="22"/>
          <w:lang w:val="en-US"/>
        </w:rPr>
        <w:t xml:space="preserve"> and maintenance ste</w:t>
      </w:r>
      <w:r w:rsidRPr="00DD066A">
        <w:rPr>
          <w:rFonts w:ascii="Arial"/>
          <w:sz w:val="22"/>
          <w:szCs w:val="22"/>
          <w:lang w:val="en-US"/>
        </w:rPr>
        <w:t>r</w:t>
      </w:r>
      <w:r w:rsidRPr="00DD066A">
        <w:rPr>
          <w:rFonts w:ascii="Arial"/>
          <w:sz w:val="22"/>
          <w:szCs w:val="22"/>
          <w:lang w:val="en-US"/>
        </w:rPr>
        <w:t>oids. Patients with steroid withdrawal earlier than 6 months after transplantation were e</w:t>
      </w:r>
      <w:r w:rsidRPr="00DD066A">
        <w:rPr>
          <w:rFonts w:ascii="Arial"/>
          <w:sz w:val="22"/>
          <w:szCs w:val="22"/>
          <w:lang w:val="en-US"/>
        </w:rPr>
        <w:t>x</w:t>
      </w:r>
      <w:r w:rsidRPr="00DD066A">
        <w:rPr>
          <w:rFonts w:ascii="Arial"/>
          <w:sz w:val="22"/>
          <w:szCs w:val="22"/>
          <w:lang w:val="en-US"/>
        </w:rPr>
        <w:t>cluded.</w:t>
      </w:r>
    </w:p>
    <w:p w14:paraId="39EAC387" w14:textId="77777777" w:rsidR="005B2107" w:rsidRPr="00DD066A" w:rsidRDefault="005B2107" w:rsidP="005B2107">
      <w:pPr>
        <w:pStyle w:val="Listenabsatz"/>
        <w:numPr>
          <w:ilvl w:val="0"/>
          <w:numId w:val="1"/>
        </w:numPr>
        <w:spacing w:line="480" w:lineRule="auto"/>
        <w:ind w:left="785" w:hanging="785"/>
        <w:jc w:val="both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0DD066A">
        <w:rPr>
          <w:rFonts w:ascii="Arial"/>
          <w:b/>
          <w:bCs/>
          <w:sz w:val="22"/>
          <w:szCs w:val="22"/>
        </w:rPr>
        <w:t xml:space="preserve">Study </w:t>
      </w:r>
      <w:proofErr w:type="spellStart"/>
      <w:r w:rsidRPr="00DD066A">
        <w:rPr>
          <w:rFonts w:ascii="Arial"/>
          <w:b/>
          <w:bCs/>
          <w:sz w:val="22"/>
          <w:szCs w:val="22"/>
        </w:rPr>
        <w:t>Cohort</w:t>
      </w:r>
      <w:proofErr w:type="spellEnd"/>
    </w:p>
    <w:p w14:paraId="7E5BDB18" w14:textId="77777777" w:rsidR="005B2107" w:rsidRPr="00DD066A" w:rsidRDefault="005B2107" w:rsidP="005B2107">
      <w:pPr>
        <w:pStyle w:val="Listenabsatz"/>
        <w:numPr>
          <w:ilvl w:val="1"/>
          <w:numId w:val="3"/>
        </w:numPr>
        <w:tabs>
          <w:tab w:val="num" w:pos="753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DD066A">
        <w:rPr>
          <w:rFonts w:ascii="Arial"/>
          <w:sz w:val="22"/>
          <w:szCs w:val="22"/>
          <w:lang w:val="en-US"/>
        </w:rPr>
        <w:t xml:space="preserve">The </w:t>
      </w:r>
      <w:proofErr w:type="spellStart"/>
      <w:r w:rsidRPr="00DD066A">
        <w:rPr>
          <w:rFonts w:ascii="Arial"/>
          <w:sz w:val="22"/>
          <w:szCs w:val="22"/>
          <w:lang w:val="en-US"/>
        </w:rPr>
        <w:t>Everolimus</w:t>
      </w:r>
      <w:proofErr w:type="spellEnd"/>
      <w:r w:rsidRPr="00DD066A">
        <w:rPr>
          <w:rFonts w:ascii="Arial"/>
          <w:sz w:val="22"/>
          <w:szCs w:val="22"/>
          <w:lang w:val="en-US"/>
        </w:rPr>
        <w:t xml:space="preserve"> Cohort consists of 35 patients who have received an immunosuppressive regimen as described in 1.1. For each patient in the </w:t>
      </w:r>
      <w:proofErr w:type="spellStart"/>
      <w:r w:rsidRPr="00DD066A">
        <w:rPr>
          <w:rFonts w:ascii="Arial"/>
          <w:sz w:val="22"/>
          <w:szCs w:val="22"/>
          <w:lang w:val="en-US"/>
        </w:rPr>
        <w:t>everolimus</w:t>
      </w:r>
      <w:proofErr w:type="spellEnd"/>
      <w:r w:rsidRPr="00DD066A">
        <w:rPr>
          <w:rFonts w:ascii="Arial"/>
          <w:sz w:val="22"/>
          <w:szCs w:val="22"/>
          <w:lang w:val="en-US"/>
        </w:rPr>
        <w:t xml:space="preserve"> group, two case-control counterparts with a standard immunosuppressive regimen as described in 1.1 are ident</w:t>
      </w:r>
      <w:r w:rsidRPr="00DD066A">
        <w:rPr>
          <w:rFonts w:ascii="Arial"/>
          <w:sz w:val="22"/>
          <w:szCs w:val="22"/>
          <w:lang w:val="en-US"/>
        </w:rPr>
        <w:t>i</w:t>
      </w:r>
      <w:r w:rsidRPr="00DD066A">
        <w:rPr>
          <w:rFonts w:ascii="Arial"/>
          <w:sz w:val="22"/>
          <w:szCs w:val="22"/>
          <w:lang w:val="en-US"/>
        </w:rPr>
        <w:t xml:space="preserve">fied within the CERTAIN Registry (Cooperative European </w:t>
      </w:r>
      <w:proofErr w:type="spellStart"/>
      <w:r w:rsidRPr="00DD066A">
        <w:rPr>
          <w:rFonts w:ascii="Arial"/>
          <w:sz w:val="22"/>
          <w:szCs w:val="22"/>
          <w:lang w:val="en-US"/>
        </w:rPr>
        <w:t>Paediatric</w:t>
      </w:r>
      <w:proofErr w:type="spellEnd"/>
      <w:r w:rsidRPr="00DD066A">
        <w:rPr>
          <w:rFonts w:ascii="Arial"/>
          <w:sz w:val="22"/>
          <w:szCs w:val="22"/>
          <w:lang w:val="en-US"/>
        </w:rPr>
        <w:t xml:space="preserve"> Renal Transplant In</w:t>
      </w:r>
      <w:r w:rsidRPr="00DD066A">
        <w:rPr>
          <w:rFonts w:ascii="Arial"/>
          <w:sz w:val="22"/>
          <w:szCs w:val="22"/>
          <w:lang w:val="en-US"/>
        </w:rPr>
        <w:t>i</w:t>
      </w:r>
      <w:r w:rsidRPr="00DD066A">
        <w:rPr>
          <w:rFonts w:ascii="Arial"/>
          <w:sz w:val="22"/>
          <w:szCs w:val="22"/>
          <w:lang w:val="en-US"/>
        </w:rPr>
        <w:t>tiative) by means of the following five matching criteria: (</w:t>
      </w:r>
      <w:proofErr w:type="spellStart"/>
      <w:r w:rsidRPr="00DD066A">
        <w:rPr>
          <w:rFonts w:ascii="Arial"/>
          <w:sz w:val="22"/>
          <w:szCs w:val="22"/>
          <w:lang w:val="en-US"/>
        </w:rPr>
        <w:t>i</w:t>
      </w:r>
      <w:proofErr w:type="spellEnd"/>
      <w:r w:rsidRPr="00DD066A">
        <w:rPr>
          <w:rFonts w:ascii="Arial"/>
          <w:sz w:val="22"/>
          <w:szCs w:val="22"/>
          <w:lang w:val="en-US"/>
        </w:rPr>
        <w:t>) age at renal transplantation, (ii) graft source (living donation or donation from a deceased donor), (iii) first or second tran</w:t>
      </w:r>
      <w:r w:rsidRPr="00DD066A">
        <w:rPr>
          <w:rFonts w:ascii="Arial"/>
          <w:sz w:val="22"/>
          <w:szCs w:val="22"/>
          <w:lang w:val="en-US"/>
        </w:rPr>
        <w:t>s</w:t>
      </w:r>
      <w:r w:rsidRPr="00DD066A">
        <w:rPr>
          <w:rFonts w:ascii="Arial"/>
          <w:sz w:val="22"/>
          <w:szCs w:val="22"/>
          <w:lang w:val="en-US"/>
        </w:rPr>
        <w:t>plant, (iv) gender, (v) pre-emptive transplantation or dialysis prior to transplantation. In both groups data requirements are the following: a complete CERTAIN minimal data set for at least the first four years post-transplant (initial visit prior to transplantation, day of di</w:t>
      </w:r>
      <w:r w:rsidRPr="00DD066A">
        <w:rPr>
          <w:rFonts w:ascii="Arial"/>
          <w:sz w:val="22"/>
          <w:szCs w:val="22"/>
          <w:lang w:val="en-US"/>
        </w:rPr>
        <w:t>s</w:t>
      </w:r>
      <w:r w:rsidRPr="00DD066A">
        <w:rPr>
          <w:rFonts w:ascii="Arial"/>
          <w:sz w:val="22"/>
          <w:szCs w:val="22"/>
          <w:lang w:val="en-US"/>
        </w:rPr>
        <w:t>charge (30 days post-transplant) visit, 12, 24, 36 and 48 months post-transplant).</w:t>
      </w:r>
    </w:p>
    <w:p w14:paraId="24F12BBF" w14:textId="77777777" w:rsidR="005B2107" w:rsidRPr="00DD066A" w:rsidRDefault="005B2107" w:rsidP="005B2107">
      <w:pPr>
        <w:pStyle w:val="Listenabsatz"/>
        <w:numPr>
          <w:ilvl w:val="0"/>
          <w:numId w:val="1"/>
        </w:numPr>
        <w:spacing w:line="480" w:lineRule="auto"/>
        <w:ind w:left="785" w:hanging="785"/>
        <w:jc w:val="both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0DD066A">
        <w:rPr>
          <w:rFonts w:ascii="Arial"/>
          <w:b/>
          <w:bCs/>
          <w:sz w:val="22"/>
          <w:szCs w:val="22"/>
        </w:rPr>
        <w:lastRenderedPageBreak/>
        <w:t xml:space="preserve">Parameters </w:t>
      </w:r>
      <w:proofErr w:type="spellStart"/>
      <w:r w:rsidRPr="00DD066A">
        <w:rPr>
          <w:rFonts w:ascii="Arial"/>
          <w:b/>
          <w:bCs/>
          <w:sz w:val="22"/>
          <w:szCs w:val="22"/>
        </w:rPr>
        <w:t>of</w:t>
      </w:r>
      <w:proofErr w:type="spellEnd"/>
      <w:r w:rsidRPr="00DD066A">
        <w:rPr>
          <w:rFonts w:ascii="Arial"/>
          <w:b/>
          <w:bCs/>
          <w:sz w:val="22"/>
          <w:szCs w:val="22"/>
        </w:rPr>
        <w:t xml:space="preserve"> </w:t>
      </w:r>
      <w:proofErr w:type="spellStart"/>
      <w:r w:rsidRPr="00DD066A">
        <w:rPr>
          <w:rFonts w:ascii="Arial"/>
          <w:b/>
          <w:bCs/>
          <w:sz w:val="22"/>
          <w:szCs w:val="22"/>
        </w:rPr>
        <w:t>specific</w:t>
      </w:r>
      <w:proofErr w:type="spellEnd"/>
      <w:r w:rsidRPr="00DD066A">
        <w:rPr>
          <w:rFonts w:ascii="Arial"/>
          <w:b/>
          <w:bCs/>
          <w:sz w:val="22"/>
          <w:szCs w:val="22"/>
        </w:rPr>
        <w:t xml:space="preserve"> </w:t>
      </w:r>
      <w:proofErr w:type="spellStart"/>
      <w:r w:rsidRPr="00DD066A">
        <w:rPr>
          <w:rFonts w:ascii="Arial"/>
          <w:b/>
          <w:bCs/>
          <w:sz w:val="22"/>
          <w:szCs w:val="22"/>
        </w:rPr>
        <w:t>interest</w:t>
      </w:r>
      <w:proofErr w:type="spellEnd"/>
    </w:p>
    <w:p w14:paraId="5327F3F6" w14:textId="77777777" w:rsidR="005B2107" w:rsidRPr="00DD066A" w:rsidRDefault="005B2107" w:rsidP="005B2107">
      <w:pPr>
        <w:pStyle w:val="Listenabsatz"/>
        <w:numPr>
          <w:ilvl w:val="1"/>
          <w:numId w:val="4"/>
        </w:numPr>
        <w:tabs>
          <w:tab w:val="num" w:pos="753"/>
        </w:tabs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0DD066A">
        <w:rPr>
          <w:rFonts w:ascii="Arial"/>
          <w:b/>
          <w:bCs/>
          <w:sz w:val="22"/>
          <w:szCs w:val="22"/>
        </w:rPr>
        <w:t xml:space="preserve">Patient </w:t>
      </w:r>
      <w:proofErr w:type="spellStart"/>
      <w:r w:rsidRPr="00DD066A">
        <w:rPr>
          <w:rFonts w:ascii="Arial"/>
          <w:b/>
          <w:bCs/>
          <w:sz w:val="22"/>
          <w:szCs w:val="22"/>
        </w:rPr>
        <w:t>and</w:t>
      </w:r>
      <w:proofErr w:type="spellEnd"/>
      <w:r w:rsidRPr="00DD066A">
        <w:rPr>
          <w:rFonts w:ascii="Arial"/>
          <w:b/>
          <w:bCs/>
          <w:sz w:val="22"/>
          <w:szCs w:val="22"/>
        </w:rPr>
        <w:t xml:space="preserve"> transplant </w:t>
      </w:r>
      <w:proofErr w:type="spellStart"/>
      <w:r w:rsidRPr="00DD066A">
        <w:rPr>
          <w:rFonts w:ascii="Arial"/>
          <w:b/>
          <w:bCs/>
          <w:sz w:val="22"/>
          <w:szCs w:val="22"/>
        </w:rPr>
        <w:t>characteristics</w:t>
      </w:r>
      <w:proofErr w:type="spellEnd"/>
    </w:p>
    <w:p w14:paraId="3EC6F956" w14:textId="77777777" w:rsidR="005B2107" w:rsidRPr="00DD066A" w:rsidRDefault="005B2107" w:rsidP="005B2107">
      <w:pPr>
        <w:pStyle w:val="Listenabsatz"/>
        <w:numPr>
          <w:ilvl w:val="2"/>
          <w:numId w:val="4"/>
        </w:numPr>
        <w:tabs>
          <w:tab w:val="left" w:pos="720"/>
          <w:tab w:val="num" w:pos="1865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DD066A">
        <w:rPr>
          <w:rFonts w:ascii="Arial"/>
          <w:sz w:val="22"/>
          <w:szCs w:val="22"/>
          <w:lang w:val="en-US"/>
        </w:rPr>
        <w:t>Demographic parameters (age, gender, height, weight, primary kidney disease).</w:t>
      </w:r>
    </w:p>
    <w:p w14:paraId="72583154" w14:textId="77777777" w:rsidR="005B2107" w:rsidRPr="00DD066A" w:rsidRDefault="005B2107" w:rsidP="005B2107">
      <w:pPr>
        <w:pStyle w:val="Listenabsatz"/>
        <w:numPr>
          <w:ilvl w:val="2"/>
          <w:numId w:val="4"/>
        </w:numPr>
        <w:tabs>
          <w:tab w:val="left" w:pos="720"/>
        </w:tabs>
        <w:spacing w:line="480" w:lineRule="auto"/>
        <w:ind w:left="1865" w:hanging="785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DD066A">
        <w:rPr>
          <w:rFonts w:ascii="Arial"/>
          <w:sz w:val="22"/>
          <w:szCs w:val="22"/>
          <w:lang w:val="en-US"/>
        </w:rPr>
        <w:t>Transplant data (number of transplants, living or deceased donation, cold i</w:t>
      </w:r>
      <w:r w:rsidRPr="00DD066A">
        <w:rPr>
          <w:rFonts w:ascii="Arial"/>
          <w:sz w:val="22"/>
          <w:szCs w:val="22"/>
          <w:lang w:val="en-US"/>
        </w:rPr>
        <w:t>s</w:t>
      </w:r>
      <w:r w:rsidRPr="00DD066A">
        <w:rPr>
          <w:rFonts w:ascii="Arial"/>
          <w:sz w:val="22"/>
          <w:szCs w:val="22"/>
          <w:lang w:val="en-US"/>
        </w:rPr>
        <w:t>chemia time, number of HLA mismatches, date of transplantation).</w:t>
      </w:r>
    </w:p>
    <w:p w14:paraId="3C696298" w14:textId="77777777" w:rsidR="005B2107" w:rsidRPr="00DD066A" w:rsidRDefault="005B2107" w:rsidP="005B2107">
      <w:pPr>
        <w:pStyle w:val="Listenabsatz"/>
        <w:numPr>
          <w:ilvl w:val="2"/>
          <w:numId w:val="4"/>
        </w:numPr>
        <w:tabs>
          <w:tab w:val="left" w:pos="720"/>
        </w:tabs>
        <w:spacing w:line="480" w:lineRule="auto"/>
        <w:ind w:left="1865" w:hanging="785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DD066A">
        <w:rPr>
          <w:rFonts w:ascii="Arial"/>
          <w:sz w:val="22"/>
          <w:szCs w:val="22"/>
          <w:lang w:val="en-US"/>
        </w:rPr>
        <w:t xml:space="preserve">Immunosuppressive medication (type of </w:t>
      </w:r>
      <w:proofErr w:type="spellStart"/>
      <w:r w:rsidRPr="00DD066A">
        <w:rPr>
          <w:rFonts w:ascii="Arial"/>
          <w:sz w:val="22"/>
          <w:szCs w:val="22"/>
          <w:lang w:val="en-US"/>
        </w:rPr>
        <w:t>immunosuppressants</w:t>
      </w:r>
      <w:proofErr w:type="spellEnd"/>
      <w:r w:rsidRPr="00DD066A">
        <w:rPr>
          <w:rFonts w:ascii="Arial"/>
          <w:sz w:val="22"/>
          <w:szCs w:val="22"/>
          <w:lang w:val="en-US"/>
        </w:rPr>
        <w:t>, dosage, trough levels, periods of administration).</w:t>
      </w:r>
    </w:p>
    <w:p w14:paraId="31F83D75" w14:textId="77777777" w:rsidR="005B2107" w:rsidRPr="00DD066A" w:rsidRDefault="005B2107" w:rsidP="005B2107">
      <w:pPr>
        <w:pStyle w:val="Listenabsatz"/>
        <w:numPr>
          <w:ilvl w:val="2"/>
          <w:numId w:val="4"/>
        </w:numPr>
        <w:tabs>
          <w:tab w:val="left" w:pos="720"/>
        </w:tabs>
        <w:spacing w:line="480" w:lineRule="auto"/>
        <w:ind w:left="1865" w:hanging="785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DD066A">
        <w:rPr>
          <w:rFonts w:ascii="Arial"/>
          <w:sz w:val="22"/>
          <w:szCs w:val="22"/>
          <w:lang w:val="en-US"/>
        </w:rPr>
        <w:t>Cytomegalovirus (CMV) risk group (CMV serology of donor (D) and recipient (R) prior to transplantation: CMV D+/R+, D+/R+, D-/R+, D-/R-).</w:t>
      </w:r>
    </w:p>
    <w:p w14:paraId="1B5A7BFC" w14:textId="77777777" w:rsidR="005B2107" w:rsidRPr="00DD066A" w:rsidRDefault="005B2107" w:rsidP="005B2107">
      <w:pPr>
        <w:pStyle w:val="Listenabsatz"/>
        <w:numPr>
          <w:ilvl w:val="2"/>
          <w:numId w:val="4"/>
        </w:numPr>
        <w:tabs>
          <w:tab w:val="left" w:pos="720"/>
        </w:tabs>
        <w:spacing w:line="480" w:lineRule="auto"/>
        <w:ind w:left="1865" w:hanging="785"/>
        <w:jc w:val="both"/>
        <w:rPr>
          <w:rFonts w:ascii="Arial"/>
          <w:sz w:val="22"/>
          <w:szCs w:val="22"/>
          <w:lang w:val="en-US"/>
        </w:rPr>
      </w:pPr>
      <w:r w:rsidRPr="00DD066A">
        <w:rPr>
          <w:rFonts w:ascii="Arial"/>
          <w:sz w:val="22"/>
          <w:szCs w:val="22"/>
          <w:lang w:val="en-US"/>
        </w:rPr>
        <w:t>Transplant function: serum creatinine, height (</w:t>
      </w:r>
      <w:proofErr w:type="spellStart"/>
      <w:r w:rsidRPr="00DD066A">
        <w:rPr>
          <w:rFonts w:ascii="Arial"/>
          <w:sz w:val="22"/>
          <w:szCs w:val="22"/>
          <w:lang w:val="en-US"/>
        </w:rPr>
        <w:t>eGFR</w:t>
      </w:r>
      <w:proofErr w:type="spellEnd"/>
      <w:r w:rsidRPr="00DD066A">
        <w:rPr>
          <w:rFonts w:ascii="Arial"/>
          <w:sz w:val="22"/>
          <w:szCs w:val="22"/>
          <w:lang w:val="en-US"/>
        </w:rPr>
        <w:t xml:space="preserve"> (estimated glomerular fi</w:t>
      </w:r>
      <w:r w:rsidRPr="00DD066A">
        <w:rPr>
          <w:rFonts w:ascii="Arial"/>
          <w:sz w:val="22"/>
          <w:szCs w:val="22"/>
          <w:lang w:val="en-US"/>
        </w:rPr>
        <w:t>l</w:t>
      </w:r>
      <w:r w:rsidRPr="00DD066A">
        <w:rPr>
          <w:rFonts w:ascii="Arial"/>
          <w:sz w:val="22"/>
          <w:szCs w:val="22"/>
          <w:lang w:val="en-US"/>
        </w:rPr>
        <w:t>tration rate) according to Schwartz (JASN 2009) will be calculated).</w:t>
      </w:r>
    </w:p>
    <w:p w14:paraId="79533B26" w14:textId="77777777" w:rsidR="005B2107" w:rsidRPr="00DD066A" w:rsidRDefault="005B2107" w:rsidP="005B2107">
      <w:pPr>
        <w:pStyle w:val="Listenabsatz"/>
        <w:numPr>
          <w:ilvl w:val="2"/>
          <w:numId w:val="4"/>
        </w:numPr>
        <w:tabs>
          <w:tab w:val="left" w:pos="720"/>
        </w:tabs>
        <w:spacing w:line="480" w:lineRule="auto"/>
        <w:ind w:left="1865" w:hanging="785"/>
        <w:jc w:val="both"/>
        <w:rPr>
          <w:rFonts w:ascii="Arial"/>
          <w:sz w:val="22"/>
          <w:szCs w:val="22"/>
          <w:lang w:val="en-US"/>
        </w:rPr>
      </w:pPr>
      <w:r w:rsidRPr="00DD066A">
        <w:rPr>
          <w:rFonts w:ascii="Arial"/>
          <w:sz w:val="22"/>
          <w:szCs w:val="22"/>
          <w:lang w:val="en-US"/>
        </w:rPr>
        <w:t>Treated and biopsy-proven acute rejection episodes (number, type according to the BANFF classification (Banff 97, 09 update)), date of onset, kind of trea</w:t>
      </w:r>
      <w:r w:rsidRPr="00DD066A">
        <w:rPr>
          <w:rFonts w:ascii="Arial"/>
          <w:sz w:val="22"/>
          <w:szCs w:val="22"/>
          <w:lang w:val="en-US"/>
        </w:rPr>
        <w:t>t</w:t>
      </w:r>
      <w:r w:rsidRPr="00DD066A">
        <w:rPr>
          <w:rFonts w:ascii="Arial"/>
          <w:sz w:val="22"/>
          <w:szCs w:val="22"/>
          <w:lang w:val="en-US"/>
        </w:rPr>
        <w:t>ment, outcome, steroid resistance; acute rejection episodes (ARE) are defined as follows: (</w:t>
      </w:r>
      <w:proofErr w:type="spellStart"/>
      <w:r w:rsidRPr="00DD066A">
        <w:rPr>
          <w:rFonts w:ascii="Arial"/>
          <w:sz w:val="22"/>
          <w:szCs w:val="22"/>
          <w:lang w:val="en-US"/>
        </w:rPr>
        <w:t>i</w:t>
      </w:r>
      <w:proofErr w:type="spellEnd"/>
      <w:r w:rsidRPr="00DD066A">
        <w:rPr>
          <w:rFonts w:ascii="Arial"/>
          <w:sz w:val="22"/>
          <w:szCs w:val="22"/>
          <w:lang w:val="en-US"/>
        </w:rPr>
        <w:t xml:space="preserve">) Biopsy-proven acute rejection episodes (BPAR) BANFF score </w:t>
      </w:r>
      <w:r w:rsidRPr="00DD066A">
        <w:rPr>
          <w:rFonts w:ascii="Arial"/>
          <w:sz w:val="22"/>
          <w:szCs w:val="22"/>
          <w:lang w:val="en-US"/>
        </w:rPr>
        <w:t>≥</w:t>
      </w:r>
      <w:r w:rsidRPr="00DD066A">
        <w:rPr>
          <w:rFonts w:ascii="Arial"/>
          <w:sz w:val="22"/>
          <w:szCs w:val="22"/>
          <w:lang w:val="en-US"/>
        </w:rPr>
        <w:t xml:space="preserve"> IA on indication biopsy (11); (ii) BPAR including borderline findings on indic</w:t>
      </w:r>
      <w:r w:rsidRPr="00DD066A">
        <w:rPr>
          <w:rFonts w:ascii="Arial"/>
          <w:sz w:val="22"/>
          <w:szCs w:val="22"/>
          <w:lang w:val="en-US"/>
        </w:rPr>
        <w:t>a</w:t>
      </w:r>
      <w:r w:rsidRPr="00DD066A">
        <w:rPr>
          <w:rFonts w:ascii="Arial"/>
          <w:sz w:val="22"/>
          <w:szCs w:val="22"/>
          <w:lang w:val="en-US"/>
        </w:rPr>
        <w:t>tion biopsy, which triggered anti-rejection therapy; (iii) over-all treated ARE (BPAR plus ARE, where a graft biopsy was either logistically not possible or medically contraindicated, but where anti-rejection therapy was initiated). In addition, any biopsy-proven graft pathology according to the BANFF classific</w:t>
      </w:r>
      <w:r w:rsidRPr="00DD066A">
        <w:rPr>
          <w:rFonts w:ascii="Arial"/>
          <w:sz w:val="22"/>
          <w:szCs w:val="22"/>
          <w:lang w:val="en-US"/>
        </w:rPr>
        <w:t>a</w:t>
      </w:r>
      <w:r w:rsidRPr="00DD066A">
        <w:rPr>
          <w:rFonts w:ascii="Arial"/>
          <w:sz w:val="22"/>
          <w:szCs w:val="22"/>
          <w:lang w:val="en-US"/>
        </w:rPr>
        <w:t>tion.</w:t>
      </w:r>
    </w:p>
    <w:p w14:paraId="09112163" w14:textId="77777777" w:rsidR="005B2107" w:rsidRPr="00DD066A" w:rsidRDefault="005B2107" w:rsidP="005B2107">
      <w:pPr>
        <w:pStyle w:val="Listenabsatz"/>
        <w:numPr>
          <w:ilvl w:val="2"/>
          <w:numId w:val="4"/>
        </w:numPr>
        <w:tabs>
          <w:tab w:val="left" w:pos="720"/>
        </w:tabs>
        <w:spacing w:line="480" w:lineRule="auto"/>
        <w:ind w:left="1865" w:hanging="785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DD066A">
        <w:rPr>
          <w:rFonts w:ascii="Arial"/>
          <w:sz w:val="22"/>
          <w:szCs w:val="22"/>
        </w:rPr>
        <w:t xml:space="preserve">Patient </w:t>
      </w:r>
      <w:proofErr w:type="spellStart"/>
      <w:r w:rsidRPr="00DD066A">
        <w:rPr>
          <w:rFonts w:ascii="Arial"/>
          <w:sz w:val="22"/>
          <w:szCs w:val="22"/>
        </w:rPr>
        <w:t>and</w:t>
      </w:r>
      <w:proofErr w:type="spellEnd"/>
      <w:r w:rsidRPr="00DD066A">
        <w:rPr>
          <w:rFonts w:ascii="Arial"/>
          <w:sz w:val="22"/>
          <w:szCs w:val="22"/>
        </w:rPr>
        <w:t xml:space="preserve"> graft </w:t>
      </w:r>
      <w:proofErr w:type="spellStart"/>
      <w:r w:rsidRPr="00DD066A">
        <w:rPr>
          <w:rFonts w:ascii="Arial"/>
          <w:sz w:val="22"/>
          <w:szCs w:val="22"/>
        </w:rPr>
        <w:t>survival</w:t>
      </w:r>
      <w:proofErr w:type="spellEnd"/>
    </w:p>
    <w:p w14:paraId="713A7AC0" w14:textId="77777777" w:rsidR="005B2107" w:rsidRPr="00DD066A" w:rsidRDefault="005B2107" w:rsidP="005B2107">
      <w:pPr>
        <w:pStyle w:val="Listenabsatz"/>
        <w:numPr>
          <w:ilvl w:val="1"/>
          <w:numId w:val="4"/>
        </w:numPr>
        <w:tabs>
          <w:tab w:val="num" w:pos="753"/>
        </w:tabs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  <w:lang w:val="en-US"/>
        </w:rPr>
      </w:pPr>
      <w:proofErr w:type="spellStart"/>
      <w:r w:rsidRPr="00DD066A">
        <w:rPr>
          <w:rFonts w:ascii="Arial"/>
          <w:b/>
          <w:bCs/>
          <w:sz w:val="22"/>
          <w:szCs w:val="22"/>
        </w:rPr>
        <w:t>Infectious</w:t>
      </w:r>
      <w:proofErr w:type="spellEnd"/>
      <w:r w:rsidRPr="00DD066A">
        <w:rPr>
          <w:rFonts w:ascii="Arial"/>
          <w:b/>
          <w:bCs/>
          <w:sz w:val="22"/>
          <w:szCs w:val="22"/>
        </w:rPr>
        <w:t xml:space="preserve"> </w:t>
      </w:r>
      <w:proofErr w:type="spellStart"/>
      <w:r w:rsidRPr="00DD066A">
        <w:rPr>
          <w:rFonts w:ascii="Arial"/>
          <w:b/>
          <w:bCs/>
          <w:sz w:val="22"/>
          <w:szCs w:val="22"/>
        </w:rPr>
        <w:t>diseases</w:t>
      </w:r>
      <w:proofErr w:type="spellEnd"/>
    </w:p>
    <w:p w14:paraId="6B8402E5" w14:textId="77777777" w:rsidR="005B2107" w:rsidRPr="00DD066A" w:rsidRDefault="005B2107" w:rsidP="005B2107">
      <w:pPr>
        <w:pStyle w:val="Listenabsatz"/>
        <w:numPr>
          <w:ilvl w:val="2"/>
          <w:numId w:val="4"/>
        </w:numPr>
        <w:tabs>
          <w:tab w:val="left" w:pos="720"/>
          <w:tab w:val="num" w:pos="1865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DD066A">
        <w:rPr>
          <w:rFonts w:ascii="Arial"/>
          <w:sz w:val="22"/>
          <w:szCs w:val="22"/>
        </w:rPr>
        <w:t xml:space="preserve">Viral </w:t>
      </w:r>
      <w:proofErr w:type="spellStart"/>
      <w:r w:rsidRPr="00DD066A">
        <w:rPr>
          <w:rFonts w:ascii="Arial"/>
          <w:sz w:val="22"/>
          <w:szCs w:val="22"/>
        </w:rPr>
        <w:t>diseases</w:t>
      </w:r>
      <w:proofErr w:type="spellEnd"/>
    </w:p>
    <w:p w14:paraId="427001CE" w14:textId="77777777" w:rsidR="005B2107" w:rsidRPr="00DD066A" w:rsidRDefault="005B2107" w:rsidP="005B2107">
      <w:pPr>
        <w:pStyle w:val="Listenabsatz"/>
        <w:numPr>
          <w:ilvl w:val="3"/>
          <w:numId w:val="4"/>
        </w:numPr>
        <w:tabs>
          <w:tab w:val="left" w:pos="720"/>
          <w:tab w:val="num" w:pos="2487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DD066A">
        <w:rPr>
          <w:rFonts w:ascii="Arial"/>
          <w:sz w:val="22"/>
          <w:szCs w:val="22"/>
          <w:lang w:val="en-US"/>
        </w:rPr>
        <w:t>Any episode of CMV, (Epstein-Barr virus (EBV) and BK-</w:t>
      </w:r>
      <w:proofErr w:type="spellStart"/>
      <w:r w:rsidRPr="00DD066A">
        <w:rPr>
          <w:rFonts w:ascii="Arial"/>
          <w:sz w:val="22"/>
          <w:szCs w:val="22"/>
          <w:lang w:val="en-US"/>
        </w:rPr>
        <w:t>polyomavirus</w:t>
      </w:r>
      <w:proofErr w:type="spellEnd"/>
      <w:r w:rsidRPr="00DD066A">
        <w:rPr>
          <w:rFonts w:ascii="Arial"/>
          <w:sz w:val="22"/>
          <w:szCs w:val="22"/>
          <w:lang w:val="en-US"/>
        </w:rPr>
        <w:t xml:space="preserve"> (BKV) replication during the observation time. </w:t>
      </w:r>
      <w:proofErr w:type="spellStart"/>
      <w:r w:rsidRPr="00DD066A">
        <w:rPr>
          <w:rFonts w:ascii="Arial"/>
          <w:sz w:val="22"/>
          <w:szCs w:val="22"/>
        </w:rPr>
        <w:t>Documentation</w:t>
      </w:r>
      <w:proofErr w:type="spellEnd"/>
      <w:r w:rsidRPr="00DD066A">
        <w:rPr>
          <w:rFonts w:ascii="Arial"/>
          <w:sz w:val="22"/>
          <w:szCs w:val="22"/>
        </w:rPr>
        <w:t xml:space="preserve"> </w:t>
      </w:r>
      <w:proofErr w:type="spellStart"/>
      <w:r w:rsidRPr="00DD066A">
        <w:rPr>
          <w:rFonts w:ascii="Arial"/>
          <w:sz w:val="22"/>
          <w:szCs w:val="22"/>
        </w:rPr>
        <w:t>of</w:t>
      </w:r>
      <w:proofErr w:type="spellEnd"/>
      <w:r w:rsidRPr="00DD066A">
        <w:rPr>
          <w:rFonts w:ascii="Arial"/>
          <w:sz w:val="22"/>
          <w:szCs w:val="22"/>
        </w:rPr>
        <w:t xml:space="preserve"> </w:t>
      </w:r>
      <w:proofErr w:type="spellStart"/>
      <w:r w:rsidRPr="00DD066A">
        <w:rPr>
          <w:rFonts w:ascii="Arial"/>
          <w:sz w:val="22"/>
          <w:szCs w:val="22"/>
        </w:rPr>
        <w:t>treatment</w:t>
      </w:r>
      <w:proofErr w:type="spellEnd"/>
      <w:r w:rsidRPr="00DD066A">
        <w:rPr>
          <w:rFonts w:ascii="Arial"/>
          <w:sz w:val="22"/>
          <w:szCs w:val="22"/>
        </w:rPr>
        <w:t xml:space="preserve"> / </w:t>
      </w:r>
      <w:proofErr w:type="spellStart"/>
      <w:r w:rsidRPr="00DD066A">
        <w:rPr>
          <w:rFonts w:ascii="Arial"/>
          <w:sz w:val="22"/>
          <w:szCs w:val="22"/>
        </w:rPr>
        <w:t>outcome</w:t>
      </w:r>
      <w:proofErr w:type="spellEnd"/>
      <w:r w:rsidRPr="00DD066A">
        <w:rPr>
          <w:rFonts w:ascii="Arial"/>
          <w:sz w:val="22"/>
          <w:szCs w:val="22"/>
        </w:rPr>
        <w:t>.</w:t>
      </w:r>
    </w:p>
    <w:p w14:paraId="5E0203FE" w14:textId="77777777" w:rsidR="005B2107" w:rsidRPr="00DD066A" w:rsidRDefault="005B2107" w:rsidP="005B2107">
      <w:pPr>
        <w:pStyle w:val="Listenabsatz"/>
        <w:numPr>
          <w:ilvl w:val="3"/>
          <w:numId w:val="4"/>
        </w:numPr>
        <w:tabs>
          <w:tab w:val="left" w:pos="720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DD066A">
        <w:rPr>
          <w:rFonts w:ascii="Arial"/>
          <w:sz w:val="22"/>
          <w:szCs w:val="22"/>
          <w:lang w:val="en-US"/>
        </w:rPr>
        <w:t>Antiviral prophylaxis and therapy (agent, dose, duration).</w:t>
      </w:r>
    </w:p>
    <w:p w14:paraId="0E5FFE0B" w14:textId="77777777" w:rsidR="005B2107" w:rsidRPr="00DD066A" w:rsidRDefault="005B2107" w:rsidP="005B2107">
      <w:pPr>
        <w:pStyle w:val="Listenabsatz"/>
        <w:numPr>
          <w:ilvl w:val="2"/>
          <w:numId w:val="5"/>
        </w:numPr>
        <w:tabs>
          <w:tab w:val="left" w:pos="720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DD066A">
        <w:rPr>
          <w:rFonts w:ascii="Arial"/>
          <w:sz w:val="22"/>
          <w:szCs w:val="22"/>
          <w:lang w:val="en-US"/>
        </w:rPr>
        <w:t xml:space="preserve">Other infectious diseases: any infection leading to treatment or hospitalization. </w:t>
      </w:r>
    </w:p>
    <w:p w14:paraId="13A1AC83" w14:textId="77777777" w:rsidR="005B2107" w:rsidRPr="00DD066A" w:rsidRDefault="005B2107" w:rsidP="005B2107">
      <w:pPr>
        <w:pStyle w:val="Listenabsatz"/>
        <w:numPr>
          <w:ilvl w:val="1"/>
          <w:numId w:val="4"/>
        </w:numPr>
        <w:spacing w:line="480" w:lineRule="auto"/>
        <w:ind w:left="1113" w:hanging="753"/>
        <w:jc w:val="both"/>
        <w:rPr>
          <w:rFonts w:ascii="Arial" w:eastAsia="Arial" w:hAnsi="Arial" w:cs="Arial"/>
          <w:b/>
          <w:bCs/>
          <w:sz w:val="22"/>
          <w:szCs w:val="22"/>
          <w:lang w:val="en-US"/>
        </w:rPr>
      </w:pPr>
      <w:proofErr w:type="spellStart"/>
      <w:r w:rsidRPr="00DD066A">
        <w:rPr>
          <w:rFonts w:ascii="Arial"/>
          <w:b/>
          <w:bCs/>
          <w:sz w:val="22"/>
          <w:szCs w:val="22"/>
        </w:rPr>
        <w:t>Hospitalizations</w:t>
      </w:r>
      <w:proofErr w:type="spellEnd"/>
    </w:p>
    <w:p w14:paraId="3C63E020" w14:textId="77777777" w:rsidR="005B2107" w:rsidRPr="00DD066A" w:rsidRDefault="005B2107" w:rsidP="005B2107">
      <w:pPr>
        <w:tabs>
          <w:tab w:val="left" w:pos="720"/>
        </w:tabs>
        <w:spacing w:line="480" w:lineRule="auto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r w:rsidRPr="00DD066A">
        <w:rPr>
          <w:rFonts w:ascii="Arial"/>
          <w:sz w:val="22"/>
          <w:szCs w:val="22"/>
        </w:rPr>
        <w:t xml:space="preserve">      </w:t>
      </w:r>
      <w:proofErr w:type="gramStart"/>
      <w:r w:rsidRPr="00DD066A">
        <w:rPr>
          <w:rFonts w:ascii="Arial"/>
          <w:sz w:val="22"/>
          <w:szCs w:val="22"/>
        </w:rPr>
        <w:t>Documentation of hospitalization episodes (cause and duration) per patient.</w:t>
      </w:r>
      <w:proofErr w:type="gramEnd"/>
    </w:p>
    <w:p w14:paraId="5E9A10DA" w14:textId="77777777" w:rsidR="005B2107" w:rsidRPr="00DD066A" w:rsidRDefault="005B2107" w:rsidP="005B2107">
      <w:pPr>
        <w:pStyle w:val="Listenabsatz"/>
        <w:numPr>
          <w:ilvl w:val="1"/>
          <w:numId w:val="4"/>
        </w:numPr>
        <w:spacing w:line="480" w:lineRule="auto"/>
        <w:ind w:left="1113" w:hanging="753"/>
        <w:jc w:val="both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0DD066A">
        <w:rPr>
          <w:rFonts w:ascii="Arial"/>
          <w:b/>
          <w:bCs/>
          <w:sz w:val="22"/>
          <w:szCs w:val="22"/>
        </w:rPr>
        <w:t xml:space="preserve">Laboratory </w:t>
      </w:r>
      <w:proofErr w:type="spellStart"/>
      <w:r w:rsidRPr="00DD066A">
        <w:rPr>
          <w:rFonts w:ascii="Arial"/>
          <w:b/>
          <w:bCs/>
          <w:sz w:val="22"/>
          <w:szCs w:val="22"/>
        </w:rPr>
        <w:t>and</w:t>
      </w:r>
      <w:proofErr w:type="spellEnd"/>
      <w:r w:rsidRPr="00DD066A">
        <w:rPr>
          <w:rFonts w:ascii="Arial"/>
          <w:b/>
          <w:bCs/>
          <w:sz w:val="22"/>
          <w:szCs w:val="22"/>
        </w:rPr>
        <w:t xml:space="preserve"> </w:t>
      </w:r>
      <w:proofErr w:type="spellStart"/>
      <w:r w:rsidRPr="00DD066A">
        <w:rPr>
          <w:rFonts w:ascii="Arial"/>
          <w:b/>
          <w:bCs/>
          <w:sz w:val="22"/>
          <w:szCs w:val="22"/>
        </w:rPr>
        <w:t>anthropometric</w:t>
      </w:r>
      <w:proofErr w:type="spellEnd"/>
      <w:r w:rsidRPr="00DD066A">
        <w:rPr>
          <w:rFonts w:ascii="Arial"/>
          <w:b/>
          <w:bCs/>
          <w:sz w:val="22"/>
          <w:szCs w:val="22"/>
        </w:rPr>
        <w:t xml:space="preserve"> </w:t>
      </w:r>
      <w:proofErr w:type="spellStart"/>
      <w:r w:rsidRPr="00DD066A">
        <w:rPr>
          <w:rFonts w:ascii="Arial"/>
          <w:b/>
          <w:bCs/>
          <w:sz w:val="22"/>
          <w:szCs w:val="22"/>
        </w:rPr>
        <w:t>values</w:t>
      </w:r>
      <w:proofErr w:type="spellEnd"/>
    </w:p>
    <w:p w14:paraId="5785643E" w14:textId="77777777" w:rsidR="005B2107" w:rsidRPr="00DD066A" w:rsidRDefault="005B2107" w:rsidP="005B2107">
      <w:pPr>
        <w:tabs>
          <w:tab w:val="left" w:pos="426"/>
        </w:tabs>
        <w:spacing w:line="480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 w:rsidRPr="00DD066A">
        <w:rPr>
          <w:rFonts w:ascii="Arial"/>
          <w:sz w:val="22"/>
          <w:szCs w:val="22"/>
        </w:rPr>
        <w:t>Extraction of the following lab values out of the CERTAIN Registry at the time points given in 2.1</w:t>
      </w:r>
      <w:proofErr w:type="gramStart"/>
      <w:r w:rsidRPr="00DD066A">
        <w:rPr>
          <w:rFonts w:ascii="Arial"/>
          <w:sz w:val="22"/>
          <w:szCs w:val="22"/>
        </w:rPr>
        <w:t>.:</w:t>
      </w:r>
      <w:proofErr w:type="gramEnd"/>
      <w:r w:rsidRPr="00DD066A">
        <w:rPr>
          <w:rFonts w:ascii="Arial"/>
          <w:sz w:val="22"/>
          <w:szCs w:val="22"/>
        </w:rPr>
        <w:t xml:space="preserve"> urinary </w:t>
      </w:r>
      <w:proofErr w:type="spellStart"/>
      <w:r w:rsidRPr="00DD066A">
        <w:rPr>
          <w:rFonts w:ascii="Arial"/>
          <w:sz w:val="22"/>
          <w:szCs w:val="22"/>
        </w:rPr>
        <w:t>albumine</w:t>
      </w:r>
      <w:proofErr w:type="spellEnd"/>
      <w:r w:rsidRPr="00DD066A">
        <w:rPr>
          <w:rFonts w:ascii="Arial"/>
          <w:sz w:val="22"/>
          <w:szCs w:val="22"/>
        </w:rPr>
        <w:t xml:space="preserve">, urinary creatinine, serum cholesterol, serum low-density lipoprotein cholesterol (LDL-C), serum triglycerides, complete blood count, trough levels of </w:t>
      </w:r>
      <w:proofErr w:type="spellStart"/>
      <w:r w:rsidRPr="00DD066A">
        <w:rPr>
          <w:rFonts w:ascii="Arial"/>
          <w:sz w:val="22"/>
          <w:szCs w:val="22"/>
        </w:rPr>
        <w:t>immunosu</w:t>
      </w:r>
      <w:r w:rsidRPr="00DD066A">
        <w:rPr>
          <w:rFonts w:ascii="Arial"/>
          <w:sz w:val="22"/>
          <w:szCs w:val="22"/>
        </w:rPr>
        <w:t>p</w:t>
      </w:r>
      <w:r w:rsidRPr="00DD066A">
        <w:rPr>
          <w:rFonts w:ascii="Arial"/>
          <w:sz w:val="22"/>
          <w:szCs w:val="22"/>
        </w:rPr>
        <w:t>pressants</w:t>
      </w:r>
      <w:proofErr w:type="spellEnd"/>
      <w:r w:rsidRPr="00DD066A">
        <w:rPr>
          <w:rFonts w:ascii="Arial"/>
          <w:sz w:val="22"/>
          <w:szCs w:val="22"/>
        </w:rPr>
        <w:t>, serum creatinine, height, weight.</w:t>
      </w:r>
    </w:p>
    <w:p w14:paraId="336391B0" w14:textId="77777777" w:rsidR="005B2107" w:rsidRPr="00DD066A" w:rsidRDefault="005B2107" w:rsidP="005B2107">
      <w:pPr>
        <w:pStyle w:val="Listenabsatz"/>
        <w:numPr>
          <w:ilvl w:val="1"/>
          <w:numId w:val="4"/>
        </w:numPr>
        <w:spacing w:line="480" w:lineRule="auto"/>
        <w:ind w:left="1113" w:hanging="753"/>
        <w:jc w:val="both"/>
        <w:rPr>
          <w:rFonts w:ascii="Arial" w:eastAsia="Arial" w:hAnsi="Arial" w:cs="Arial"/>
          <w:b/>
          <w:bCs/>
          <w:sz w:val="22"/>
          <w:szCs w:val="22"/>
          <w:lang w:val="en-US"/>
        </w:rPr>
      </w:pPr>
      <w:proofErr w:type="spellStart"/>
      <w:r w:rsidRPr="00DD066A">
        <w:rPr>
          <w:rFonts w:ascii="Arial"/>
          <w:b/>
          <w:bCs/>
          <w:sz w:val="22"/>
          <w:szCs w:val="22"/>
        </w:rPr>
        <w:t>Medication</w:t>
      </w:r>
      <w:proofErr w:type="spellEnd"/>
    </w:p>
    <w:p w14:paraId="0DD8EDC0" w14:textId="77777777" w:rsidR="005B2107" w:rsidRPr="00DD066A" w:rsidRDefault="005B2107" w:rsidP="005B2107">
      <w:pPr>
        <w:tabs>
          <w:tab w:val="left" w:pos="720"/>
        </w:tabs>
        <w:spacing w:line="480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 w:rsidRPr="00DD066A">
        <w:rPr>
          <w:rFonts w:ascii="Arial"/>
          <w:sz w:val="22"/>
          <w:szCs w:val="22"/>
        </w:rPr>
        <w:t xml:space="preserve">Export of all medications administered during the observation time with start and end date from the CERTAIN Registry including </w:t>
      </w:r>
      <w:proofErr w:type="spellStart"/>
      <w:r w:rsidRPr="00DD066A">
        <w:rPr>
          <w:rFonts w:ascii="Arial"/>
          <w:sz w:val="22"/>
          <w:szCs w:val="22"/>
        </w:rPr>
        <w:t>immunosuppressants</w:t>
      </w:r>
      <w:proofErr w:type="spellEnd"/>
      <w:r w:rsidRPr="00DD066A">
        <w:rPr>
          <w:rFonts w:ascii="Arial"/>
          <w:sz w:val="22"/>
          <w:szCs w:val="22"/>
        </w:rPr>
        <w:t xml:space="preserve"> (with doses), antihypertensive drugs and erythropoiesis-stimulating agents</w:t>
      </w:r>
      <w:r w:rsidRPr="00DD066A">
        <w:rPr>
          <w:rFonts w:ascii="Arial"/>
          <w:b/>
          <w:bCs/>
          <w:sz w:val="22"/>
          <w:szCs w:val="22"/>
        </w:rPr>
        <w:t xml:space="preserve">. </w:t>
      </w:r>
    </w:p>
    <w:p w14:paraId="562585F0" w14:textId="77777777" w:rsidR="005B2107" w:rsidRPr="00DD066A" w:rsidRDefault="005B2107" w:rsidP="005B2107">
      <w:pPr>
        <w:pStyle w:val="Listenabsatz"/>
        <w:numPr>
          <w:ilvl w:val="1"/>
          <w:numId w:val="4"/>
        </w:numPr>
        <w:spacing w:line="480" w:lineRule="auto"/>
        <w:ind w:left="1113" w:hanging="753"/>
        <w:jc w:val="both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0DD066A">
        <w:rPr>
          <w:rFonts w:ascii="Arial"/>
          <w:b/>
          <w:bCs/>
          <w:sz w:val="22"/>
          <w:szCs w:val="22"/>
        </w:rPr>
        <w:t xml:space="preserve">Blood </w:t>
      </w:r>
      <w:proofErr w:type="spellStart"/>
      <w:r w:rsidRPr="00DD066A">
        <w:rPr>
          <w:rFonts w:ascii="Arial"/>
          <w:b/>
          <w:bCs/>
          <w:sz w:val="22"/>
          <w:szCs w:val="22"/>
        </w:rPr>
        <w:t>Pressure</w:t>
      </w:r>
      <w:proofErr w:type="spellEnd"/>
    </w:p>
    <w:p w14:paraId="789021F3" w14:textId="77777777" w:rsidR="005B2107" w:rsidRPr="00DD066A" w:rsidRDefault="005B2107" w:rsidP="005B2107">
      <w:pPr>
        <w:pStyle w:val="Listenabsatz"/>
        <w:tabs>
          <w:tab w:val="left" w:pos="720"/>
        </w:tabs>
        <w:spacing w:line="480" w:lineRule="auto"/>
        <w:ind w:left="426"/>
        <w:jc w:val="both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0DD066A">
        <w:rPr>
          <w:rFonts w:ascii="Arial"/>
          <w:sz w:val="22"/>
          <w:szCs w:val="22"/>
          <w:lang w:val="en-US"/>
        </w:rPr>
        <w:t>Systolic and diastolic blood pressures were derived from casual blood pressure measur</w:t>
      </w:r>
      <w:r w:rsidRPr="00DD066A">
        <w:rPr>
          <w:rFonts w:ascii="Arial"/>
          <w:sz w:val="22"/>
          <w:szCs w:val="22"/>
          <w:lang w:val="en-US"/>
        </w:rPr>
        <w:t>e</w:t>
      </w:r>
      <w:r w:rsidRPr="00DD066A">
        <w:rPr>
          <w:rFonts w:ascii="Arial"/>
          <w:sz w:val="22"/>
          <w:szCs w:val="22"/>
          <w:lang w:val="en-US"/>
        </w:rPr>
        <w:t>ments (average of three measurements taken within 5 min) by</w:t>
      </w:r>
      <w:r w:rsidRPr="00DD066A">
        <w:rPr>
          <w:rFonts w:ascii="Arial"/>
          <w:b/>
          <w:bCs/>
          <w:sz w:val="22"/>
          <w:szCs w:val="22"/>
          <w:lang w:val="en-US"/>
        </w:rPr>
        <w:t xml:space="preserve"> </w:t>
      </w:r>
      <w:r w:rsidRPr="00DD066A">
        <w:rPr>
          <w:rFonts w:ascii="Arial"/>
          <w:sz w:val="22"/>
          <w:szCs w:val="22"/>
          <w:lang w:val="en-US"/>
        </w:rPr>
        <w:t>sphygmomanometer and co</w:t>
      </w:r>
      <w:r w:rsidRPr="00DD066A">
        <w:rPr>
          <w:rFonts w:ascii="Arial"/>
          <w:sz w:val="22"/>
          <w:szCs w:val="22"/>
          <w:lang w:val="en-US"/>
        </w:rPr>
        <w:t>n</w:t>
      </w:r>
      <w:r w:rsidRPr="00DD066A">
        <w:rPr>
          <w:rFonts w:ascii="Arial"/>
          <w:sz w:val="22"/>
          <w:szCs w:val="22"/>
          <w:lang w:val="en-US"/>
        </w:rPr>
        <w:t>verted to SDS values based on reference data from the 2013 German healthy population (13).</w:t>
      </w:r>
    </w:p>
    <w:p w14:paraId="4C735858" w14:textId="77777777" w:rsidR="005B2107" w:rsidRPr="00DD066A" w:rsidRDefault="005B2107" w:rsidP="005B2107">
      <w:pPr>
        <w:pStyle w:val="Listenabsatz"/>
        <w:numPr>
          <w:ilvl w:val="1"/>
          <w:numId w:val="4"/>
        </w:numPr>
        <w:spacing w:line="480" w:lineRule="auto"/>
        <w:ind w:left="1113" w:hanging="753"/>
        <w:jc w:val="both"/>
        <w:rPr>
          <w:rFonts w:ascii="Arial" w:eastAsia="Arial" w:hAnsi="Arial" w:cs="Arial"/>
          <w:b/>
          <w:bCs/>
          <w:sz w:val="22"/>
          <w:szCs w:val="22"/>
          <w:lang w:val="en-US"/>
        </w:rPr>
      </w:pPr>
      <w:proofErr w:type="spellStart"/>
      <w:r w:rsidRPr="00DD066A">
        <w:rPr>
          <w:rFonts w:ascii="Arial"/>
          <w:b/>
          <w:bCs/>
          <w:sz w:val="22"/>
          <w:szCs w:val="22"/>
        </w:rPr>
        <w:t>Donor-specific</w:t>
      </w:r>
      <w:proofErr w:type="spellEnd"/>
      <w:r w:rsidRPr="00DD066A">
        <w:rPr>
          <w:rFonts w:ascii="Arial"/>
          <w:b/>
          <w:bCs/>
          <w:sz w:val="22"/>
          <w:szCs w:val="22"/>
        </w:rPr>
        <w:t xml:space="preserve"> </w:t>
      </w:r>
      <w:proofErr w:type="spellStart"/>
      <w:r w:rsidRPr="00DD066A">
        <w:rPr>
          <w:rFonts w:ascii="Arial"/>
          <w:b/>
          <w:bCs/>
          <w:sz w:val="22"/>
          <w:szCs w:val="22"/>
        </w:rPr>
        <w:t>antibodies</w:t>
      </w:r>
      <w:proofErr w:type="spellEnd"/>
    </w:p>
    <w:p w14:paraId="0011058F" w14:textId="77777777" w:rsidR="005B2107" w:rsidRPr="00DD066A" w:rsidRDefault="005B2107" w:rsidP="005B2107">
      <w:pPr>
        <w:tabs>
          <w:tab w:val="left" w:pos="567"/>
        </w:tabs>
        <w:spacing w:line="480" w:lineRule="auto"/>
        <w:ind w:left="426"/>
        <w:jc w:val="both"/>
        <w:rPr>
          <w:rFonts w:ascii="Arial"/>
          <w:sz w:val="22"/>
          <w:szCs w:val="22"/>
        </w:rPr>
      </w:pPr>
      <w:r w:rsidRPr="00DD066A">
        <w:rPr>
          <w:rFonts w:ascii="Arial"/>
          <w:sz w:val="22"/>
          <w:szCs w:val="22"/>
        </w:rPr>
        <w:t xml:space="preserve">Documentation of the appearance of de novo donor-specific antibodies at the time points given in 2.1 determined by the </w:t>
      </w:r>
      <w:proofErr w:type="spellStart"/>
      <w:r w:rsidRPr="00DD066A">
        <w:rPr>
          <w:rFonts w:ascii="Arial"/>
          <w:sz w:val="22"/>
          <w:szCs w:val="22"/>
        </w:rPr>
        <w:t>LABScreen</w:t>
      </w:r>
      <w:proofErr w:type="spellEnd"/>
      <w:r w:rsidRPr="00DD066A">
        <w:rPr>
          <w:rFonts w:ascii="Arial"/>
          <w:sz w:val="22"/>
          <w:szCs w:val="22"/>
        </w:rPr>
        <w:t xml:space="preserve"> single-antigen beads Luminex kit. Because </w:t>
      </w:r>
      <w:proofErr w:type="gramStart"/>
      <w:r w:rsidRPr="00DD066A">
        <w:rPr>
          <w:rFonts w:ascii="Arial"/>
          <w:sz w:val="22"/>
          <w:szCs w:val="22"/>
        </w:rPr>
        <w:t>no clin</w:t>
      </w:r>
      <w:r w:rsidRPr="00DD066A">
        <w:rPr>
          <w:rFonts w:ascii="Arial"/>
          <w:sz w:val="22"/>
          <w:szCs w:val="22"/>
        </w:rPr>
        <w:t>i</w:t>
      </w:r>
      <w:r w:rsidRPr="00DD066A">
        <w:rPr>
          <w:rFonts w:ascii="Arial"/>
          <w:sz w:val="22"/>
          <w:szCs w:val="22"/>
        </w:rPr>
        <w:t>cally validated cut-off for the Luminex assay is recommended by the provider company</w:t>
      </w:r>
      <w:proofErr w:type="gramEnd"/>
      <w:r w:rsidRPr="00DD066A">
        <w:rPr>
          <w:rFonts w:ascii="Arial"/>
          <w:sz w:val="22"/>
          <w:szCs w:val="22"/>
        </w:rPr>
        <w:t xml:space="preserve">, a mean fluorescence intensity of </w:t>
      </w:r>
      <w:r w:rsidRPr="00DD066A">
        <w:rPr>
          <w:rFonts w:hAnsi="Arial Unicode MS"/>
          <w:sz w:val="22"/>
          <w:szCs w:val="22"/>
        </w:rPr>
        <w:t>≥</w:t>
      </w:r>
      <w:r w:rsidRPr="00DD066A">
        <w:rPr>
          <w:rFonts w:hAnsi="Arial Unicode MS"/>
          <w:sz w:val="22"/>
          <w:szCs w:val="22"/>
        </w:rPr>
        <w:t xml:space="preserve"> </w:t>
      </w:r>
      <w:r w:rsidRPr="00DD066A">
        <w:rPr>
          <w:rFonts w:ascii="Arial"/>
          <w:sz w:val="22"/>
          <w:szCs w:val="22"/>
        </w:rPr>
        <w:t>1000 was used to define the cut-off for antibody positivity.</w:t>
      </w:r>
    </w:p>
    <w:p w14:paraId="280EED68" w14:textId="77777777" w:rsidR="008A0EA9" w:rsidRDefault="008A0EA9"/>
    <w:sectPr w:rsidR="008A0EA9" w:rsidSect="008A0EA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6D66"/>
    <w:multiLevelType w:val="multilevel"/>
    <w:tmpl w:val="832A519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2362"/>
        </w:tabs>
        <w:ind w:left="2362" w:hanging="6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1">
    <w:nsid w:val="1BCD302A"/>
    <w:multiLevelType w:val="multilevel"/>
    <w:tmpl w:val="DC600A4C"/>
    <w:lvl w:ilvl="0">
      <w:start w:val="2"/>
      <w:numFmt w:val="decimal"/>
      <w:lvlText w:val="%1"/>
      <w:lvlJc w:val="left"/>
      <w:pPr>
        <w:ind w:left="360" w:hanging="360"/>
      </w:pPr>
      <w:rPr>
        <w:rFonts w:eastAsia="Cambria" w:hAnsi="Cambria" w:cs="Cambria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mbria" w:hAnsi="Cambria" w:cs="Cambr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mbria" w:hAnsi="Cambria" w:cs="Cambr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mbria" w:hAnsi="Cambria" w:cs="Cambr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mbria" w:hAnsi="Cambria" w:cs="Cambr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mbria" w:hAnsi="Cambria" w:cs="Cambr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mbria" w:hAnsi="Cambria" w:cs="Cambr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mbria" w:hAnsi="Cambria" w:cs="Cambr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mbria" w:hAnsi="Cambria" w:cs="Cambria" w:hint="default"/>
      </w:rPr>
    </w:lvl>
  </w:abstractNum>
  <w:abstractNum w:abstractNumId="2">
    <w:nsid w:val="26AE098C"/>
    <w:multiLevelType w:val="multilevel"/>
    <w:tmpl w:val="F1841D92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2362"/>
        </w:tabs>
        <w:ind w:left="2362" w:hanging="66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</w:abstractNum>
  <w:abstractNum w:abstractNumId="3">
    <w:nsid w:val="4B27503F"/>
    <w:multiLevelType w:val="multilevel"/>
    <w:tmpl w:val="6E6E1432"/>
    <w:lvl w:ilvl="0">
      <w:start w:val="3"/>
      <w:numFmt w:val="decimal"/>
      <w:lvlText w:val="%1."/>
      <w:lvlJc w:val="left"/>
      <w:pPr>
        <w:ind w:left="560" w:hanging="560"/>
      </w:pPr>
      <w:rPr>
        <w:rFonts w:eastAsia="Cambria" w:hAnsi="Cambria" w:cs="Cambria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Cambria" w:hAnsi="Cambria" w:cs="Cambria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eastAsia="Cambria" w:hAnsi="Cambria" w:cs="Cambr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mbria" w:hAnsi="Cambria" w:cs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Ansi="Cambria" w:cs="Cambr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mbria" w:hAnsi="Cambria" w:cs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Ansi="Cambria" w:cs="Cambr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mbria" w:hAnsi="Cambria" w:cs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Ansi="Cambria" w:cs="Cambria" w:hint="default"/>
      </w:rPr>
    </w:lvl>
  </w:abstractNum>
  <w:abstractNum w:abstractNumId="4">
    <w:nsid w:val="63B613F9"/>
    <w:multiLevelType w:val="multilevel"/>
    <w:tmpl w:val="CC00A836"/>
    <w:lvl w:ilvl="0">
      <w:start w:val="3"/>
      <w:numFmt w:val="decimal"/>
      <w:lvlText w:val="%1"/>
      <w:lvlJc w:val="left"/>
      <w:pPr>
        <w:ind w:left="360" w:hanging="360"/>
      </w:pPr>
      <w:rPr>
        <w:rFonts w:eastAsia="Cambria" w:hAnsi="Cambria" w:cs="Cambria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mbria" w:hAnsi="Cambria" w:cs="Cambr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mbria" w:hAnsi="Cambria" w:cs="Cambr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mbria" w:hAnsi="Cambria" w:cs="Cambr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mbria" w:hAnsi="Cambria" w:cs="Cambr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mbria" w:hAnsi="Cambria" w:cs="Cambr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mbria" w:hAnsi="Cambria" w:cs="Cambr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mbria" w:hAnsi="Cambria" w:cs="Cambr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mbria" w:hAnsi="Cambria" w:cs="Cambria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07"/>
    <w:rsid w:val="004F1A2F"/>
    <w:rsid w:val="005B2107"/>
    <w:rsid w:val="008A0EA9"/>
    <w:rsid w:val="00BD03F1"/>
    <w:rsid w:val="00E14D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70B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B2107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Cambria" w:eastAsia="Cambria" w:hAnsi="Cambria" w:cs="Cambria"/>
      <w:color w:val="000000"/>
      <w:u w:color="000000"/>
      <w:bdr w:val="nil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F1A2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F1A2F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rsid w:val="005B2107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720"/>
    </w:pPr>
    <w:rPr>
      <w:rFonts w:ascii="Times New Roman" w:eastAsia="Arial Unicode MS" w:hAnsi="Arial Unicode MS" w:cs="Arial Unicode MS"/>
      <w:color w:val="000000"/>
      <w:u w:color="000000"/>
      <w:bdr w:val="nil"/>
      <w:lang w:eastAsia="de-DE"/>
    </w:rPr>
  </w:style>
  <w:style w:type="numbering" w:customStyle="1" w:styleId="List0">
    <w:name w:val="List 0"/>
    <w:basedOn w:val="KeineListe"/>
    <w:rsid w:val="005B210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B2107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Cambria" w:eastAsia="Cambria" w:hAnsi="Cambria" w:cs="Cambria"/>
      <w:color w:val="000000"/>
      <w:u w:color="000000"/>
      <w:bdr w:val="nil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F1A2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F1A2F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rsid w:val="005B2107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720"/>
    </w:pPr>
    <w:rPr>
      <w:rFonts w:ascii="Times New Roman" w:eastAsia="Arial Unicode MS" w:hAnsi="Arial Unicode MS" w:cs="Arial Unicode MS"/>
      <w:color w:val="000000"/>
      <w:u w:color="000000"/>
      <w:bdr w:val="nil"/>
      <w:lang w:eastAsia="de-DE"/>
    </w:rPr>
  </w:style>
  <w:style w:type="numbering" w:customStyle="1" w:styleId="List0">
    <w:name w:val="List 0"/>
    <w:basedOn w:val="KeineListe"/>
    <w:rsid w:val="005B210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4193</Characters>
  <Application>Microsoft Macintosh Word</Application>
  <DocSecurity>0</DocSecurity>
  <Lines>34</Lines>
  <Paragraphs>9</Paragraphs>
  <ScaleCrop>false</ScaleCrop>
  <Company>MHH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Pape</dc:creator>
  <cp:keywords/>
  <dc:description/>
  <cp:lastModifiedBy>Lars Pape</cp:lastModifiedBy>
  <cp:revision>2</cp:revision>
  <dcterms:created xsi:type="dcterms:W3CDTF">2015-07-07T08:55:00Z</dcterms:created>
  <dcterms:modified xsi:type="dcterms:W3CDTF">2015-07-07T09:05:00Z</dcterms:modified>
</cp:coreProperties>
</file>