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FB" w:rsidRDefault="007A0CFB" w:rsidP="007A0CFB">
      <w:r>
        <w:rPr>
          <w:b/>
        </w:rPr>
        <w:t>S3 Table</w:t>
      </w:r>
      <w:r w:rsidRPr="00D85F1E">
        <w:rPr>
          <w:b/>
        </w:rPr>
        <w:t>: TASSEL-GBS plugins</w:t>
      </w:r>
      <w:r>
        <w:rPr>
          <w:b/>
        </w:rPr>
        <w:t xml:space="preserve"> (</w:t>
      </w:r>
      <w:proofErr w:type="spellStart"/>
      <w:r>
        <w:rPr>
          <w:b/>
        </w:rPr>
        <w:t>Glaubitz</w:t>
      </w:r>
      <w:proofErr w:type="spellEnd"/>
      <w:r>
        <w:rPr>
          <w:b/>
        </w:rPr>
        <w:t xml:space="preserve"> et al., 2014)</w:t>
      </w:r>
      <w:r w:rsidRPr="00D85F1E">
        <w:rPr>
          <w:b/>
        </w:rPr>
        <w:t xml:space="preserve"> used</w:t>
      </w:r>
      <w:r>
        <w:rPr>
          <w:b/>
        </w:rPr>
        <w:t xml:space="preserve"> in </w:t>
      </w:r>
      <w:proofErr w:type="spellStart"/>
      <w:r w:rsidR="00DA2F3D">
        <w:rPr>
          <w:b/>
        </w:rPr>
        <w:t>HetMappS</w:t>
      </w:r>
      <w:proofErr w:type="spellEnd"/>
      <w:r w:rsidR="00DA2F3D">
        <w:rPr>
          <w:b/>
        </w:rPr>
        <w:t xml:space="preserve"> (</w:t>
      </w:r>
      <w:proofErr w:type="spellStart"/>
      <w:r w:rsidR="00DA2F3D">
        <w:rPr>
          <w:b/>
        </w:rPr>
        <w:t>Hyma</w:t>
      </w:r>
      <w:proofErr w:type="spellEnd"/>
      <w:r w:rsidR="00DA2F3D">
        <w:rPr>
          <w:b/>
        </w:rPr>
        <w:t xml:space="preserve"> et al</w:t>
      </w:r>
      <w:r w:rsidRPr="00D85F1E">
        <w:rPr>
          <w:b/>
        </w:rPr>
        <w:t>.</w:t>
      </w:r>
      <w:r w:rsidR="00DA2F3D">
        <w:rPr>
          <w:b/>
        </w:rPr>
        <w:t>)</w:t>
      </w:r>
      <w:bookmarkStart w:id="0" w:name="_GoBack"/>
      <w:bookmarkEnd w:id="0"/>
    </w:p>
    <w:tbl>
      <w:tblPr>
        <w:tblStyle w:val="TableGrid"/>
        <w:tblW w:w="5144" w:type="pct"/>
        <w:tblLayout w:type="fixed"/>
        <w:tblLook w:val="04A0" w:firstRow="1" w:lastRow="0" w:firstColumn="1" w:lastColumn="0" w:noHBand="0" w:noVBand="1"/>
      </w:tblPr>
      <w:tblGrid>
        <w:gridCol w:w="3036"/>
        <w:gridCol w:w="1017"/>
        <w:gridCol w:w="2026"/>
        <w:gridCol w:w="3773"/>
      </w:tblGrid>
      <w:tr w:rsidR="007A0CFB" w:rsidRPr="002A3F64" w:rsidTr="007A0CFB">
        <w:trPr>
          <w:trHeight w:val="315"/>
        </w:trPr>
        <w:tc>
          <w:tcPr>
            <w:tcW w:w="1541" w:type="pct"/>
            <w:noWrap/>
            <w:vAlign w:val="center"/>
          </w:tcPr>
          <w:p w:rsidR="007A0CFB" w:rsidRDefault="007A0CFB" w:rsidP="00D431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Tag generation Plugin </w:t>
            </w:r>
          </w:p>
        </w:tc>
        <w:tc>
          <w:tcPr>
            <w:tcW w:w="516" w:type="pct"/>
            <w:noWrap/>
            <w:vAlign w:val="center"/>
          </w:tcPr>
          <w:p w:rsidR="007A0CFB" w:rsidRDefault="007A0CFB" w:rsidP="00D431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Option</w:t>
            </w:r>
          </w:p>
        </w:tc>
        <w:tc>
          <w:tcPr>
            <w:tcW w:w="1028" w:type="pct"/>
            <w:noWrap/>
            <w:vAlign w:val="center"/>
          </w:tcPr>
          <w:p w:rsidR="007A0CFB" w:rsidRDefault="007A0CFB" w:rsidP="00D431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value</w:t>
            </w:r>
          </w:p>
        </w:tc>
        <w:tc>
          <w:tcPr>
            <w:tcW w:w="1915" w:type="pct"/>
            <w:noWrap/>
            <w:vAlign w:val="center"/>
          </w:tcPr>
          <w:p w:rsidR="007A0CFB" w:rsidRDefault="007A0CFB" w:rsidP="00D431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Description</w:t>
            </w:r>
          </w:p>
        </w:tc>
      </w:tr>
      <w:tr w:rsidR="007A0CFB" w:rsidRPr="002A3F64" w:rsidTr="007A0CFB">
        <w:trPr>
          <w:trHeight w:val="315"/>
        </w:trPr>
        <w:tc>
          <w:tcPr>
            <w:tcW w:w="1541" w:type="pct"/>
            <w:noWrap/>
            <w:vAlign w:val="center"/>
          </w:tcPr>
          <w:p w:rsidR="007A0CFB" w:rsidRDefault="007A0CFB" w:rsidP="00D4313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FastqToTagCountPlugin</w:t>
            </w:r>
            <w:proofErr w:type="spellEnd"/>
          </w:p>
        </w:tc>
        <w:tc>
          <w:tcPr>
            <w:tcW w:w="516" w:type="pct"/>
            <w:noWrap/>
            <w:vAlign w:val="center"/>
          </w:tcPr>
          <w:p w:rsidR="007A0CFB" w:rsidRDefault="007A0CFB" w:rsidP="00D431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-s</w:t>
            </w:r>
          </w:p>
        </w:tc>
        <w:tc>
          <w:tcPr>
            <w:tcW w:w="1028" w:type="pct"/>
            <w:noWrap/>
            <w:vAlign w:val="center"/>
          </w:tcPr>
          <w:p w:rsidR="007A0CFB" w:rsidRDefault="007A0CFB" w:rsidP="00D43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300000000</w:t>
            </w:r>
          </w:p>
        </w:tc>
        <w:tc>
          <w:tcPr>
            <w:tcW w:w="1915" w:type="pct"/>
            <w:noWrap/>
            <w:vAlign w:val="center"/>
          </w:tcPr>
          <w:p w:rsidR="007A0CFB" w:rsidRDefault="007A0CFB" w:rsidP="00D431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Maximum number of good reads per lane. Default: 200000000</w:t>
            </w:r>
          </w:p>
        </w:tc>
      </w:tr>
      <w:tr w:rsidR="007A0CFB" w:rsidRPr="002A3F64" w:rsidTr="007A0CFB">
        <w:trPr>
          <w:trHeight w:val="315"/>
        </w:trPr>
        <w:tc>
          <w:tcPr>
            <w:tcW w:w="1541" w:type="pct"/>
            <w:noWrap/>
            <w:vAlign w:val="center"/>
          </w:tcPr>
          <w:p w:rsidR="007A0CFB" w:rsidRDefault="007A0CFB" w:rsidP="00D4313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FastqToTagCountPlugin</w:t>
            </w:r>
            <w:proofErr w:type="spellEnd"/>
          </w:p>
        </w:tc>
        <w:tc>
          <w:tcPr>
            <w:tcW w:w="516" w:type="pct"/>
            <w:noWrap/>
            <w:vAlign w:val="center"/>
          </w:tcPr>
          <w:p w:rsidR="007A0CFB" w:rsidRDefault="007A0CFB" w:rsidP="00D431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-c</w:t>
            </w:r>
          </w:p>
        </w:tc>
        <w:tc>
          <w:tcPr>
            <w:tcW w:w="1028" w:type="pct"/>
            <w:noWrap/>
            <w:vAlign w:val="center"/>
          </w:tcPr>
          <w:p w:rsidR="007A0CFB" w:rsidRDefault="007A0CFB" w:rsidP="00D431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5" w:type="pct"/>
            <w:noWrap/>
            <w:vAlign w:val="center"/>
          </w:tcPr>
          <w:p w:rsidR="007A0CFB" w:rsidRDefault="007A0CFB" w:rsidP="00D431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Minimum number of times a tag must be present to be output. Default: 1</w:t>
            </w:r>
          </w:p>
        </w:tc>
      </w:tr>
      <w:tr w:rsidR="007A0CFB" w:rsidRPr="002A3F64" w:rsidTr="007A0CFB">
        <w:trPr>
          <w:trHeight w:val="315"/>
        </w:trPr>
        <w:tc>
          <w:tcPr>
            <w:tcW w:w="1541" w:type="pct"/>
            <w:noWrap/>
            <w:vAlign w:val="center"/>
          </w:tcPr>
          <w:p w:rsidR="007A0CFB" w:rsidRDefault="007A0CFB" w:rsidP="00D4313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MergeMultipleTagCountPlugin</w:t>
            </w:r>
            <w:proofErr w:type="spellEnd"/>
          </w:p>
        </w:tc>
        <w:tc>
          <w:tcPr>
            <w:tcW w:w="516" w:type="pct"/>
            <w:noWrap/>
            <w:vAlign w:val="center"/>
          </w:tcPr>
          <w:p w:rsidR="007A0CFB" w:rsidRDefault="007A0CFB" w:rsidP="00D431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-c</w:t>
            </w:r>
          </w:p>
        </w:tc>
        <w:tc>
          <w:tcPr>
            <w:tcW w:w="1028" w:type="pct"/>
            <w:noWrap/>
            <w:vAlign w:val="center"/>
          </w:tcPr>
          <w:p w:rsidR="007A0CFB" w:rsidRDefault="007A0CFB" w:rsidP="00D431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915" w:type="pct"/>
            <w:noWrap/>
            <w:vAlign w:val="center"/>
          </w:tcPr>
          <w:p w:rsidR="007A0CFB" w:rsidRDefault="007A0CFB" w:rsidP="00D431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Minimum number of times a tag must be present to be output. Default: 1</w:t>
            </w:r>
          </w:p>
        </w:tc>
      </w:tr>
      <w:tr w:rsidR="007A0CFB" w:rsidRPr="002A3F64" w:rsidTr="007A0CFB">
        <w:trPr>
          <w:trHeight w:val="315"/>
        </w:trPr>
        <w:tc>
          <w:tcPr>
            <w:tcW w:w="1541" w:type="pct"/>
            <w:noWrap/>
          </w:tcPr>
          <w:p w:rsidR="007A0CFB" w:rsidRDefault="007A0CFB" w:rsidP="00D431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Tags by taxa Plugin</w:t>
            </w:r>
          </w:p>
        </w:tc>
        <w:tc>
          <w:tcPr>
            <w:tcW w:w="516" w:type="pct"/>
            <w:noWrap/>
          </w:tcPr>
          <w:p w:rsidR="007A0CFB" w:rsidRDefault="007A0CFB" w:rsidP="00D431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Option</w:t>
            </w:r>
          </w:p>
        </w:tc>
        <w:tc>
          <w:tcPr>
            <w:tcW w:w="1028" w:type="pct"/>
            <w:noWrap/>
          </w:tcPr>
          <w:p w:rsidR="007A0CFB" w:rsidRDefault="007A0CFB" w:rsidP="00D431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value</w:t>
            </w:r>
          </w:p>
        </w:tc>
        <w:tc>
          <w:tcPr>
            <w:tcW w:w="1915" w:type="pct"/>
            <w:noWrap/>
          </w:tcPr>
          <w:p w:rsidR="007A0CFB" w:rsidRDefault="007A0CFB" w:rsidP="00D431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Description</w:t>
            </w:r>
          </w:p>
        </w:tc>
      </w:tr>
      <w:tr w:rsidR="007A0CFB" w:rsidRPr="002A3F64" w:rsidTr="007A0CFB">
        <w:trPr>
          <w:trHeight w:val="315"/>
        </w:trPr>
        <w:tc>
          <w:tcPr>
            <w:tcW w:w="1541" w:type="pct"/>
            <w:noWrap/>
            <w:hideMark/>
          </w:tcPr>
          <w:p w:rsidR="007A0CFB" w:rsidRPr="002A3F64" w:rsidRDefault="007A0CFB" w:rsidP="00D431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F64">
              <w:rPr>
                <w:rFonts w:ascii="Calibri" w:eastAsia="Times New Roman" w:hAnsi="Calibri" w:cs="Times New Roman"/>
                <w:color w:val="000000"/>
              </w:rPr>
              <w:t>FastqToTBTPlugin</w:t>
            </w:r>
            <w:proofErr w:type="spellEnd"/>
          </w:p>
        </w:tc>
        <w:tc>
          <w:tcPr>
            <w:tcW w:w="516" w:type="pct"/>
            <w:noWrap/>
            <w:hideMark/>
          </w:tcPr>
          <w:p w:rsidR="007A0CFB" w:rsidRPr="002A3F64" w:rsidRDefault="007A0CFB" w:rsidP="00D431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F64">
              <w:rPr>
                <w:rFonts w:ascii="Calibri" w:eastAsia="Times New Roman" w:hAnsi="Calibri" w:cs="Times New Roman"/>
                <w:color w:val="000000"/>
              </w:rPr>
              <w:t>-c</w:t>
            </w:r>
          </w:p>
        </w:tc>
        <w:tc>
          <w:tcPr>
            <w:tcW w:w="1028" w:type="pct"/>
            <w:noWrap/>
            <w:hideMark/>
          </w:tcPr>
          <w:p w:rsidR="007A0CFB" w:rsidRPr="002A3F64" w:rsidRDefault="007A0CFB" w:rsidP="00D431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915" w:type="pct"/>
            <w:noWrap/>
            <w:hideMark/>
          </w:tcPr>
          <w:p w:rsidR="007A0CFB" w:rsidRPr="002A3F64" w:rsidRDefault="007A0CFB" w:rsidP="00D431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F64">
              <w:rPr>
                <w:rFonts w:ascii="Calibri" w:eastAsia="Times New Roman" w:hAnsi="Calibri" w:cs="Times New Roman"/>
                <w:color w:val="000000"/>
              </w:rPr>
              <w:t xml:space="preserve">Minimum taxa count within a </w:t>
            </w:r>
            <w:proofErr w:type="spellStart"/>
            <w:r w:rsidRPr="002A3F64">
              <w:rPr>
                <w:rFonts w:ascii="Calibri" w:eastAsia="Times New Roman" w:hAnsi="Calibri" w:cs="Times New Roman"/>
                <w:color w:val="000000"/>
              </w:rPr>
              <w:t>fastq</w:t>
            </w:r>
            <w:proofErr w:type="spellEnd"/>
            <w:r w:rsidRPr="002A3F64">
              <w:rPr>
                <w:rFonts w:ascii="Calibri" w:eastAsia="Times New Roman" w:hAnsi="Calibri" w:cs="Times New Roman"/>
                <w:color w:val="000000"/>
              </w:rPr>
              <w:t xml:space="preserve"> file for a tag to be output. Default: 1</w:t>
            </w:r>
          </w:p>
        </w:tc>
      </w:tr>
      <w:tr w:rsidR="007A0CFB" w:rsidRPr="002A3F64" w:rsidTr="007A0CFB">
        <w:trPr>
          <w:trHeight w:val="315"/>
        </w:trPr>
        <w:tc>
          <w:tcPr>
            <w:tcW w:w="1541" w:type="pct"/>
            <w:noWrap/>
            <w:hideMark/>
          </w:tcPr>
          <w:p w:rsidR="007A0CFB" w:rsidRPr="002A3F64" w:rsidRDefault="007A0CFB" w:rsidP="00D431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F64">
              <w:rPr>
                <w:rFonts w:ascii="Calibri" w:eastAsia="Times New Roman" w:hAnsi="Calibri" w:cs="Times New Roman"/>
                <w:color w:val="000000"/>
              </w:rPr>
              <w:t>FastqToTBTPlugin</w:t>
            </w:r>
            <w:proofErr w:type="spellEnd"/>
          </w:p>
        </w:tc>
        <w:tc>
          <w:tcPr>
            <w:tcW w:w="516" w:type="pct"/>
            <w:noWrap/>
            <w:hideMark/>
          </w:tcPr>
          <w:p w:rsidR="007A0CFB" w:rsidRPr="002A3F64" w:rsidRDefault="007A0CFB" w:rsidP="00D431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F64">
              <w:rPr>
                <w:rFonts w:ascii="Calibri" w:eastAsia="Times New Roman" w:hAnsi="Calibri" w:cs="Times New Roman"/>
                <w:color w:val="000000"/>
              </w:rPr>
              <w:t>-s</w:t>
            </w:r>
          </w:p>
        </w:tc>
        <w:tc>
          <w:tcPr>
            <w:tcW w:w="1028" w:type="pct"/>
            <w:noWrap/>
            <w:hideMark/>
          </w:tcPr>
          <w:p w:rsidR="007A0CFB" w:rsidRPr="002A3F64" w:rsidRDefault="007A0CFB" w:rsidP="00D431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F64">
              <w:rPr>
                <w:rFonts w:ascii="Calibri" w:eastAsia="Times New Roman" w:hAnsi="Calibri" w:cs="Times New Roman"/>
                <w:color w:val="000000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A3F64">
              <w:rPr>
                <w:rFonts w:ascii="Calibri" w:eastAsia="Times New Roman" w:hAnsi="Calibri" w:cs="Times New Roman"/>
                <w:color w:val="000000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A3F64">
              <w:rPr>
                <w:rFonts w:ascii="Calibri" w:eastAsia="Times New Roman" w:hAnsi="Calibri" w:cs="Times New Roman"/>
                <w:color w:val="000000"/>
              </w:rPr>
              <w:t>000</w:t>
            </w:r>
          </w:p>
        </w:tc>
        <w:tc>
          <w:tcPr>
            <w:tcW w:w="1915" w:type="pct"/>
            <w:noWrap/>
            <w:hideMark/>
          </w:tcPr>
          <w:p w:rsidR="007A0CFB" w:rsidRPr="002A3F64" w:rsidRDefault="007A0CFB" w:rsidP="00D431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F64">
              <w:rPr>
                <w:rFonts w:ascii="Calibri" w:eastAsia="Times New Roman" w:hAnsi="Calibri" w:cs="Times New Roman"/>
                <w:color w:val="000000"/>
              </w:rPr>
              <w:t>Max good reads per lane. (Optional. Default is 200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A3F64">
              <w:rPr>
                <w:rFonts w:ascii="Calibri" w:eastAsia="Times New Roman" w:hAnsi="Calibri" w:cs="Times New Roman"/>
                <w:color w:val="000000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A3F64">
              <w:rPr>
                <w:rFonts w:ascii="Calibri" w:eastAsia="Times New Roman" w:hAnsi="Calibri" w:cs="Times New Roman"/>
                <w:color w:val="000000"/>
              </w:rPr>
              <w:t>000).</w:t>
            </w:r>
          </w:p>
        </w:tc>
      </w:tr>
      <w:tr w:rsidR="007A0CFB" w:rsidRPr="002A3F64" w:rsidTr="007A0CFB">
        <w:trPr>
          <w:trHeight w:val="315"/>
        </w:trPr>
        <w:tc>
          <w:tcPr>
            <w:tcW w:w="1541" w:type="pct"/>
            <w:noWrap/>
            <w:hideMark/>
          </w:tcPr>
          <w:p w:rsidR="007A0CFB" w:rsidRPr="002A3F64" w:rsidRDefault="007A0CFB" w:rsidP="00D431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F64">
              <w:rPr>
                <w:rFonts w:ascii="Calibri" w:eastAsia="Times New Roman" w:hAnsi="Calibri" w:cs="Times New Roman"/>
                <w:color w:val="000000"/>
              </w:rPr>
              <w:t>FastqToTBTPlugin</w:t>
            </w:r>
            <w:proofErr w:type="spellEnd"/>
          </w:p>
        </w:tc>
        <w:tc>
          <w:tcPr>
            <w:tcW w:w="516" w:type="pct"/>
            <w:noWrap/>
            <w:hideMark/>
          </w:tcPr>
          <w:p w:rsidR="007A0CFB" w:rsidRPr="002A3F64" w:rsidRDefault="007A0CFB" w:rsidP="00D431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F64">
              <w:rPr>
                <w:rFonts w:ascii="Calibri" w:eastAsia="Times New Roman" w:hAnsi="Calibri" w:cs="Times New Roman"/>
                <w:color w:val="000000"/>
              </w:rPr>
              <w:t>-y</w:t>
            </w:r>
          </w:p>
        </w:tc>
        <w:tc>
          <w:tcPr>
            <w:tcW w:w="1028" w:type="pct"/>
            <w:noWrap/>
            <w:hideMark/>
          </w:tcPr>
          <w:p w:rsidR="007A0CFB" w:rsidRPr="002A3F64" w:rsidRDefault="007A0CFB" w:rsidP="00D431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F64">
              <w:rPr>
                <w:rFonts w:ascii="Calibri" w:eastAsia="Times New Roman" w:hAnsi="Calibri" w:cs="Times New Roman"/>
                <w:color w:val="000000"/>
              </w:rPr>
              <w:t>-y</w:t>
            </w:r>
          </w:p>
        </w:tc>
        <w:tc>
          <w:tcPr>
            <w:tcW w:w="1915" w:type="pct"/>
            <w:noWrap/>
            <w:hideMark/>
          </w:tcPr>
          <w:p w:rsidR="007A0CFB" w:rsidRPr="002A3F64" w:rsidRDefault="007A0CFB" w:rsidP="00D431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F64">
              <w:rPr>
                <w:rFonts w:ascii="Calibri" w:eastAsia="Times New Roman" w:hAnsi="Calibri" w:cs="Times New Roman"/>
                <w:color w:val="000000"/>
              </w:rPr>
              <w:t xml:space="preserve">Output in </w:t>
            </w:r>
            <w:proofErr w:type="spellStart"/>
            <w:r w:rsidRPr="002A3F64">
              <w:rPr>
                <w:rFonts w:ascii="Calibri" w:eastAsia="Times New Roman" w:hAnsi="Calibri" w:cs="Times New Roman"/>
                <w:color w:val="000000"/>
              </w:rPr>
              <w:t>TBTByte</w:t>
            </w:r>
            <w:proofErr w:type="spellEnd"/>
            <w:r w:rsidRPr="002A3F64">
              <w:rPr>
                <w:rFonts w:ascii="Calibri" w:eastAsia="Times New Roman" w:hAnsi="Calibri" w:cs="Times New Roman"/>
                <w:color w:val="000000"/>
              </w:rPr>
              <w:t xml:space="preserve"> format (counts from 0-127) instead of </w:t>
            </w:r>
            <w:proofErr w:type="spellStart"/>
            <w:r w:rsidRPr="002A3F64">
              <w:rPr>
                <w:rFonts w:ascii="Calibri" w:eastAsia="Times New Roman" w:hAnsi="Calibri" w:cs="Times New Roman"/>
                <w:color w:val="000000"/>
              </w:rPr>
              <w:t>TBTBit</w:t>
            </w:r>
            <w:proofErr w:type="spellEnd"/>
            <w:r w:rsidRPr="002A3F64">
              <w:rPr>
                <w:rFonts w:ascii="Calibri" w:eastAsia="Times New Roman" w:hAnsi="Calibri" w:cs="Times New Roman"/>
                <w:color w:val="000000"/>
              </w:rPr>
              <w:t xml:space="preserve"> (0 or 1).</w:t>
            </w:r>
          </w:p>
        </w:tc>
      </w:tr>
      <w:tr w:rsidR="007A0CFB" w:rsidRPr="002A3F64" w:rsidTr="007A0CFB">
        <w:trPr>
          <w:trHeight w:val="315"/>
        </w:trPr>
        <w:tc>
          <w:tcPr>
            <w:tcW w:w="1541" w:type="pct"/>
            <w:noWrap/>
            <w:hideMark/>
          </w:tcPr>
          <w:p w:rsidR="007A0CFB" w:rsidRPr="002A3F64" w:rsidRDefault="007A0CFB" w:rsidP="00D431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F64">
              <w:rPr>
                <w:rFonts w:ascii="Calibri" w:eastAsia="Times New Roman" w:hAnsi="Calibri" w:cs="Times New Roman"/>
                <w:color w:val="000000"/>
              </w:rPr>
              <w:t>MergeTagsByTaxaFilesPlugin</w:t>
            </w:r>
            <w:proofErr w:type="spellEnd"/>
          </w:p>
        </w:tc>
        <w:tc>
          <w:tcPr>
            <w:tcW w:w="516" w:type="pct"/>
            <w:noWrap/>
            <w:hideMark/>
          </w:tcPr>
          <w:p w:rsidR="007A0CFB" w:rsidRPr="002A3F64" w:rsidRDefault="007A0CFB" w:rsidP="00D431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F64">
              <w:rPr>
                <w:rFonts w:ascii="Calibri" w:eastAsia="Times New Roman" w:hAnsi="Calibri" w:cs="Times New Roman"/>
                <w:color w:val="000000"/>
              </w:rPr>
              <w:t>-s</w:t>
            </w:r>
          </w:p>
        </w:tc>
        <w:tc>
          <w:tcPr>
            <w:tcW w:w="1028" w:type="pct"/>
            <w:noWrap/>
            <w:hideMark/>
          </w:tcPr>
          <w:p w:rsidR="007A0CFB" w:rsidRPr="002A3F64" w:rsidRDefault="007A0CFB" w:rsidP="00D431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F64">
              <w:rPr>
                <w:rFonts w:ascii="Calibri" w:eastAsia="Times New Roman" w:hAnsi="Calibri" w:cs="Times New Roman"/>
                <w:color w:val="000000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A3F64">
              <w:rPr>
                <w:rFonts w:ascii="Calibri" w:eastAsia="Times New Roman" w:hAnsi="Calibri" w:cs="Times New Roman"/>
                <w:color w:val="000000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A3F64">
              <w:rPr>
                <w:rFonts w:ascii="Calibri" w:eastAsia="Times New Roman" w:hAnsi="Calibri" w:cs="Times New Roman"/>
                <w:color w:val="000000"/>
              </w:rPr>
              <w:t>000</w:t>
            </w:r>
          </w:p>
        </w:tc>
        <w:tc>
          <w:tcPr>
            <w:tcW w:w="1915" w:type="pct"/>
            <w:noWrap/>
            <w:hideMark/>
          </w:tcPr>
          <w:p w:rsidR="007A0CFB" w:rsidRPr="002A3F64" w:rsidRDefault="007A0CFB" w:rsidP="00D431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F64">
              <w:rPr>
                <w:rFonts w:ascii="Calibri" w:eastAsia="Times New Roman" w:hAnsi="Calibri" w:cs="Times New Roman"/>
                <w:color w:val="000000"/>
              </w:rPr>
              <w:t>Maximum number of tags the TBT can hold while merging (default: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F64">
              <w:rPr>
                <w:rFonts w:ascii="Calibri" w:eastAsia="Times New Roman" w:hAnsi="Calibri" w:cs="Times New Roman"/>
                <w:color w:val="000000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A3F64">
              <w:rPr>
                <w:rFonts w:ascii="Calibri" w:eastAsia="Times New Roman" w:hAnsi="Calibri" w:cs="Times New Roman"/>
                <w:color w:val="000000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A3F64">
              <w:rPr>
                <w:rFonts w:ascii="Calibri" w:eastAsia="Times New Roman" w:hAnsi="Calibri" w:cs="Times New Roman"/>
                <w:color w:val="000000"/>
              </w:rPr>
              <w:t>000). Reduce this only if you run out of memory (omit the commas).</w:t>
            </w:r>
          </w:p>
        </w:tc>
      </w:tr>
      <w:tr w:rsidR="007A0CFB" w:rsidRPr="002A3F64" w:rsidTr="007A0CFB">
        <w:trPr>
          <w:trHeight w:val="315"/>
        </w:trPr>
        <w:tc>
          <w:tcPr>
            <w:tcW w:w="1541" w:type="pct"/>
            <w:noWrap/>
            <w:hideMark/>
          </w:tcPr>
          <w:p w:rsidR="007A0CFB" w:rsidRPr="002A3F64" w:rsidRDefault="007A0CFB" w:rsidP="00D431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F64">
              <w:rPr>
                <w:rFonts w:ascii="Calibri" w:eastAsia="Times New Roman" w:hAnsi="Calibri" w:cs="Times New Roman"/>
                <w:color w:val="000000"/>
              </w:rPr>
              <w:t>MergeTagsByTaxaFilesPlugin</w:t>
            </w:r>
            <w:proofErr w:type="spellEnd"/>
          </w:p>
        </w:tc>
        <w:tc>
          <w:tcPr>
            <w:tcW w:w="516" w:type="pct"/>
            <w:noWrap/>
            <w:hideMark/>
          </w:tcPr>
          <w:p w:rsidR="007A0CFB" w:rsidRPr="002A3F64" w:rsidRDefault="007A0CFB" w:rsidP="00D431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F64">
              <w:rPr>
                <w:rFonts w:ascii="Calibri" w:eastAsia="Times New Roman" w:hAnsi="Calibri" w:cs="Times New Roman"/>
                <w:color w:val="000000"/>
              </w:rPr>
              <w:t>-x</w:t>
            </w:r>
          </w:p>
        </w:tc>
        <w:tc>
          <w:tcPr>
            <w:tcW w:w="1028" w:type="pct"/>
            <w:noWrap/>
            <w:hideMark/>
          </w:tcPr>
          <w:p w:rsidR="007A0CFB" w:rsidRPr="002A3F64" w:rsidRDefault="007A0CFB" w:rsidP="00D431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-x</w:t>
            </w:r>
          </w:p>
        </w:tc>
        <w:tc>
          <w:tcPr>
            <w:tcW w:w="1915" w:type="pct"/>
            <w:noWrap/>
            <w:hideMark/>
          </w:tcPr>
          <w:p w:rsidR="007A0CFB" w:rsidRPr="002A3F64" w:rsidRDefault="007A0CFB" w:rsidP="00D431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F64">
              <w:rPr>
                <w:rFonts w:ascii="Calibri" w:eastAsia="Times New Roman" w:hAnsi="Calibri" w:cs="Times New Roman"/>
                <w:color w:val="000000"/>
              </w:rPr>
              <w:t>Merges tag counts of taxa with identical names if set to -x. Not performed by default</w:t>
            </w:r>
          </w:p>
        </w:tc>
      </w:tr>
      <w:tr w:rsidR="007A0CFB" w:rsidRPr="002A3F64" w:rsidTr="007A0CFB">
        <w:trPr>
          <w:trHeight w:val="315"/>
        </w:trPr>
        <w:tc>
          <w:tcPr>
            <w:tcW w:w="1541" w:type="pct"/>
            <w:noWrap/>
          </w:tcPr>
          <w:p w:rsidR="007A0CFB" w:rsidRDefault="007A0CFB" w:rsidP="00D431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SNP calling Plugin</w:t>
            </w:r>
          </w:p>
        </w:tc>
        <w:tc>
          <w:tcPr>
            <w:tcW w:w="516" w:type="pct"/>
            <w:noWrap/>
          </w:tcPr>
          <w:p w:rsidR="007A0CFB" w:rsidRDefault="007A0CFB" w:rsidP="00D431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Option</w:t>
            </w:r>
          </w:p>
        </w:tc>
        <w:tc>
          <w:tcPr>
            <w:tcW w:w="1028" w:type="pct"/>
            <w:noWrap/>
          </w:tcPr>
          <w:p w:rsidR="007A0CFB" w:rsidRDefault="007A0CFB" w:rsidP="00D431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value</w:t>
            </w:r>
          </w:p>
        </w:tc>
        <w:tc>
          <w:tcPr>
            <w:tcW w:w="1915" w:type="pct"/>
            <w:noWrap/>
          </w:tcPr>
          <w:p w:rsidR="007A0CFB" w:rsidRDefault="007A0CFB" w:rsidP="00D431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Description</w:t>
            </w:r>
          </w:p>
        </w:tc>
      </w:tr>
      <w:tr w:rsidR="007A0CFB" w:rsidRPr="002A3F64" w:rsidTr="007A0CFB">
        <w:trPr>
          <w:trHeight w:val="315"/>
        </w:trPr>
        <w:tc>
          <w:tcPr>
            <w:tcW w:w="1541" w:type="pct"/>
            <w:noWrap/>
          </w:tcPr>
          <w:p w:rsidR="007A0CFB" w:rsidRDefault="007A0CFB" w:rsidP="00D431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tbt2vcfPlugin</w:t>
            </w:r>
          </w:p>
        </w:tc>
        <w:tc>
          <w:tcPr>
            <w:tcW w:w="516" w:type="pct"/>
            <w:noWrap/>
          </w:tcPr>
          <w:p w:rsidR="007A0CFB" w:rsidRDefault="007A0CFB" w:rsidP="00D431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spellStart"/>
            <w:r>
              <w:rPr>
                <w:rFonts w:ascii="Calibri" w:hAnsi="Calibri"/>
                <w:color w:val="000000"/>
              </w:rPr>
              <w:t>ak</w:t>
            </w:r>
            <w:proofErr w:type="spellEnd"/>
          </w:p>
        </w:tc>
        <w:tc>
          <w:tcPr>
            <w:tcW w:w="1028" w:type="pct"/>
            <w:noWrap/>
          </w:tcPr>
          <w:p w:rsidR="007A0CFB" w:rsidRDefault="007A0CFB" w:rsidP="00D431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915" w:type="pct"/>
            <w:noWrap/>
          </w:tcPr>
          <w:p w:rsidR="007A0CFB" w:rsidRDefault="007A0CFB" w:rsidP="00D431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Maximum number of alleles that are kept for each marker across the population; default: 3</w:t>
            </w:r>
          </w:p>
        </w:tc>
      </w:tr>
      <w:tr w:rsidR="007A0CFB" w:rsidRPr="002A3F64" w:rsidTr="007A0CFB">
        <w:trPr>
          <w:trHeight w:val="315"/>
        </w:trPr>
        <w:tc>
          <w:tcPr>
            <w:tcW w:w="1541" w:type="pct"/>
            <w:noWrap/>
          </w:tcPr>
          <w:p w:rsidR="007A0CFB" w:rsidRDefault="007A0CFB" w:rsidP="00D431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tbt2vcfPlugin</w:t>
            </w:r>
          </w:p>
        </w:tc>
        <w:tc>
          <w:tcPr>
            <w:tcW w:w="516" w:type="pct"/>
            <w:noWrap/>
          </w:tcPr>
          <w:p w:rsidR="007A0CFB" w:rsidRDefault="007A0CFB" w:rsidP="00D431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spellStart"/>
            <w:r>
              <w:rPr>
                <w:rFonts w:ascii="Calibri" w:hAnsi="Calibri"/>
                <w:color w:val="000000"/>
              </w:rPr>
              <w:t>mnMAF</w:t>
            </w:r>
            <w:proofErr w:type="spellEnd"/>
          </w:p>
        </w:tc>
        <w:tc>
          <w:tcPr>
            <w:tcW w:w="1028" w:type="pct"/>
            <w:noWrap/>
          </w:tcPr>
          <w:p w:rsidR="007A0CFB" w:rsidRDefault="007A0CFB" w:rsidP="00D431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915" w:type="pct"/>
            <w:noWrap/>
          </w:tcPr>
          <w:p w:rsidR="007A0CFB" w:rsidRDefault="007A0CFB" w:rsidP="00D431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Minimum minor allele frequency (default: 0.0)</w:t>
            </w:r>
          </w:p>
        </w:tc>
      </w:tr>
      <w:tr w:rsidR="007A0CFB" w:rsidRPr="002A3F64" w:rsidTr="007A0CFB">
        <w:trPr>
          <w:trHeight w:val="315"/>
        </w:trPr>
        <w:tc>
          <w:tcPr>
            <w:tcW w:w="1541" w:type="pct"/>
            <w:noWrap/>
          </w:tcPr>
          <w:p w:rsidR="007A0CFB" w:rsidRDefault="007A0CFB" w:rsidP="00D431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tbt2vcfPlugin</w:t>
            </w:r>
          </w:p>
        </w:tc>
        <w:tc>
          <w:tcPr>
            <w:tcW w:w="516" w:type="pct"/>
            <w:noWrap/>
          </w:tcPr>
          <w:p w:rsidR="007A0CFB" w:rsidRDefault="007A0CFB" w:rsidP="00D431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spellStart"/>
            <w:r>
              <w:rPr>
                <w:rFonts w:ascii="Calibri" w:hAnsi="Calibri"/>
                <w:color w:val="000000"/>
              </w:rPr>
              <w:t>mnLCov</w:t>
            </w:r>
            <w:proofErr w:type="spellEnd"/>
          </w:p>
        </w:tc>
        <w:tc>
          <w:tcPr>
            <w:tcW w:w="1028" w:type="pct"/>
            <w:noWrap/>
          </w:tcPr>
          <w:p w:rsidR="007A0CFB" w:rsidRDefault="007A0CFB" w:rsidP="00D431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915" w:type="pct"/>
            <w:noWrap/>
          </w:tcPr>
          <w:p w:rsidR="007A0CFB" w:rsidRDefault="007A0CFB" w:rsidP="00D431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Minimum locus coverage (proportion of Taxa with a genotype) (default: 0.0)</w:t>
            </w:r>
          </w:p>
        </w:tc>
      </w:tr>
      <w:tr w:rsidR="007A0CFB" w:rsidRPr="002A3F64" w:rsidTr="007A0CFB">
        <w:trPr>
          <w:trHeight w:val="315"/>
        </w:trPr>
        <w:tc>
          <w:tcPr>
            <w:tcW w:w="1541" w:type="pct"/>
            <w:noWrap/>
          </w:tcPr>
          <w:p w:rsidR="007A0CFB" w:rsidRDefault="007A0CFB" w:rsidP="00D4313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MergeDuplicateSNP_vcf_Plugin</w:t>
            </w:r>
            <w:proofErr w:type="spellEnd"/>
          </w:p>
        </w:tc>
        <w:tc>
          <w:tcPr>
            <w:tcW w:w="516" w:type="pct"/>
            <w:noWrap/>
          </w:tcPr>
          <w:p w:rsidR="007A0CFB" w:rsidRDefault="007A0CFB" w:rsidP="00D431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spellStart"/>
            <w:r>
              <w:rPr>
                <w:rFonts w:ascii="Calibri" w:hAnsi="Calibri"/>
                <w:color w:val="000000"/>
              </w:rPr>
              <w:t>ak</w:t>
            </w:r>
            <w:proofErr w:type="spellEnd"/>
          </w:p>
        </w:tc>
        <w:tc>
          <w:tcPr>
            <w:tcW w:w="1028" w:type="pct"/>
            <w:noWrap/>
          </w:tcPr>
          <w:p w:rsidR="007A0CFB" w:rsidRDefault="007A0CFB" w:rsidP="00D431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915" w:type="pct"/>
            <w:noWrap/>
          </w:tcPr>
          <w:p w:rsidR="007A0CFB" w:rsidRDefault="007A0CFB" w:rsidP="00D431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Maximum number of alleles that are kept for each marker across the population; default: 3</w:t>
            </w:r>
          </w:p>
        </w:tc>
      </w:tr>
    </w:tbl>
    <w:p w:rsidR="00687734" w:rsidRDefault="00DA2F3D"/>
    <w:sectPr w:rsidR="0068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FB"/>
    <w:rsid w:val="000877B5"/>
    <w:rsid w:val="007A0CFB"/>
    <w:rsid w:val="00AD605C"/>
    <w:rsid w:val="00DA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FB"/>
    <w:pPr>
      <w:spacing w:line="276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FB"/>
    <w:pPr>
      <w:spacing w:line="276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Hyma</dc:creator>
  <cp:keywords/>
  <dc:description/>
  <cp:lastModifiedBy>Paola</cp:lastModifiedBy>
  <cp:revision>2</cp:revision>
  <dcterms:created xsi:type="dcterms:W3CDTF">2015-01-23T19:58:00Z</dcterms:created>
  <dcterms:modified xsi:type="dcterms:W3CDTF">2015-03-12T15:34:00Z</dcterms:modified>
</cp:coreProperties>
</file>