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AE" w:rsidRPr="003F67A8" w:rsidRDefault="00302EA8" w:rsidP="006F43A0">
      <w:pPr>
        <w:spacing w:line="480" w:lineRule="auto"/>
        <w:jc w:val="center"/>
        <w:rPr>
          <w:rFonts w:ascii="Times New Roman" w:hAnsi="Times New Roman" w:cs="Times New Roman"/>
          <w:sz w:val="24"/>
          <w:szCs w:val="24"/>
        </w:rPr>
      </w:pPr>
      <w:r w:rsidRPr="003F67A8">
        <w:rPr>
          <w:rFonts w:ascii="Times New Roman" w:hAnsi="Times New Roman" w:cs="Times New Roman"/>
          <w:sz w:val="24"/>
          <w:szCs w:val="24"/>
        </w:rPr>
        <w:t>The p</w:t>
      </w:r>
      <w:r w:rsidR="000C2FAE" w:rsidRPr="003F67A8">
        <w:rPr>
          <w:rFonts w:ascii="Times New Roman" w:hAnsi="Times New Roman" w:cs="Times New Roman"/>
          <w:sz w:val="24"/>
          <w:szCs w:val="24"/>
        </w:rPr>
        <w:t>rotocol of fish oil trial</w:t>
      </w:r>
    </w:p>
    <w:p w:rsidR="002A4686" w:rsidRDefault="00E10C9A" w:rsidP="006F43A0">
      <w:pPr>
        <w:spacing w:line="480" w:lineRule="auto"/>
        <w:rPr>
          <w:rFonts w:ascii="Times New Roman" w:hAnsi="Times New Roman" w:cs="Times New Roman" w:hint="eastAsia"/>
          <w:sz w:val="24"/>
          <w:szCs w:val="24"/>
        </w:rPr>
      </w:pPr>
      <w:r w:rsidRPr="003F67A8">
        <w:rPr>
          <w:rFonts w:ascii="Times New Roman" w:hAnsi="Times New Roman" w:cs="Times New Roman"/>
          <w:sz w:val="24"/>
          <w:szCs w:val="24"/>
        </w:rPr>
        <w:t xml:space="preserve">The protocol of the fish oil trail was originally published in </w:t>
      </w:r>
      <w:r w:rsidR="00D5377F" w:rsidRPr="003F67A8">
        <w:rPr>
          <w:rFonts w:ascii="Times New Roman" w:hAnsi="Times New Roman" w:cs="Times New Roman"/>
          <w:sz w:val="24"/>
          <w:szCs w:val="24"/>
        </w:rPr>
        <w:t>Chinese,</w:t>
      </w:r>
      <w:r w:rsidR="002A4686" w:rsidRPr="003F67A8">
        <w:rPr>
          <w:rFonts w:ascii="Times New Roman" w:hAnsi="Times New Roman" w:cs="Times New Roman"/>
          <w:sz w:val="24"/>
          <w:szCs w:val="24"/>
        </w:rPr>
        <w:t xml:space="preserve"> and was also translated to English</w:t>
      </w:r>
      <w:r w:rsidR="003F67A8">
        <w:rPr>
          <w:rFonts w:ascii="Times New Roman" w:hAnsi="Times New Roman" w:cs="Times New Roman" w:hint="eastAsia"/>
          <w:sz w:val="24"/>
          <w:szCs w:val="24"/>
        </w:rPr>
        <w:t xml:space="preserve"> here</w:t>
      </w:r>
      <w:r w:rsidR="002A4686" w:rsidRPr="003F67A8">
        <w:rPr>
          <w:rFonts w:ascii="Times New Roman" w:hAnsi="Times New Roman" w:cs="Times New Roman"/>
          <w:sz w:val="24"/>
          <w:szCs w:val="24"/>
        </w:rPr>
        <w:t>.</w:t>
      </w:r>
    </w:p>
    <w:p w:rsidR="003F67A8" w:rsidRPr="003F67A8" w:rsidRDefault="003F67A8" w:rsidP="006F43A0">
      <w:pPr>
        <w:spacing w:line="480" w:lineRule="auto"/>
        <w:rPr>
          <w:rFonts w:ascii="Times New Roman" w:hAnsi="Times New Roman" w:cs="Times New Roman"/>
          <w:sz w:val="24"/>
          <w:szCs w:val="24"/>
        </w:rPr>
      </w:pPr>
    </w:p>
    <w:p w:rsidR="002A4686" w:rsidRPr="003F67A8" w:rsidRDefault="00FD5353" w:rsidP="006F43A0">
      <w:pPr>
        <w:spacing w:line="480" w:lineRule="auto"/>
        <w:rPr>
          <w:rFonts w:ascii="Times New Roman" w:hAnsi="Times New Roman" w:cs="Times New Roman"/>
          <w:sz w:val="24"/>
          <w:szCs w:val="24"/>
        </w:rPr>
      </w:pPr>
      <w:r w:rsidRPr="003F67A8">
        <w:rPr>
          <w:rFonts w:ascii="Times New Roman" w:hAnsiTheme="minorEastAsia" w:cs="Times New Roman"/>
          <w:sz w:val="24"/>
          <w:szCs w:val="24"/>
        </w:rPr>
        <w:t>中文版本</w:t>
      </w:r>
      <w:r w:rsidR="006763BF" w:rsidRPr="003F67A8">
        <w:rPr>
          <w:rFonts w:ascii="Times New Roman" w:hAnsiTheme="minorEastAsia" w:cs="Times New Roman"/>
          <w:sz w:val="24"/>
          <w:szCs w:val="24"/>
        </w:rPr>
        <w:t>（</w:t>
      </w:r>
      <w:r w:rsidRPr="003F67A8">
        <w:rPr>
          <w:rFonts w:ascii="Times New Roman" w:hAnsi="Times New Roman" w:cs="Times New Roman"/>
          <w:sz w:val="24"/>
          <w:szCs w:val="24"/>
        </w:rPr>
        <w:t>The Chinese version</w:t>
      </w:r>
      <w:r w:rsidR="006763BF" w:rsidRPr="003F67A8">
        <w:rPr>
          <w:rFonts w:ascii="Times New Roman" w:hAnsiTheme="minorEastAsia" w:cs="Times New Roman"/>
          <w:sz w:val="24"/>
          <w:szCs w:val="24"/>
        </w:rPr>
        <w:t>）</w:t>
      </w:r>
      <w:r w:rsidR="00113075" w:rsidRPr="003F67A8">
        <w:rPr>
          <w:rFonts w:ascii="Times New Roman" w:hAnsiTheme="minorEastAsia" w:cs="Times New Roman"/>
          <w:sz w:val="24"/>
          <w:szCs w:val="24"/>
        </w:rPr>
        <w:t>：</w:t>
      </w:r>
    </w:p>
    <w:p w:rsidR="00E10C9A" w:rsidRPr="003F67A8" w:rsidRDefault="00E10C9A" w:rsidP="006F43A0">
      <w:pPr>
        <w:spacing w:line="480" w:lineRule="auto"/>
        <w:rPr>
          <w:rFonts w:ascii="Times New Roman" w:hAnsi="Times New Roman" w:cs="Times New Roman"/>
          <w:sz w:val="24"/>
          <w:szCs w:val="24"/>
        </w:rPr>
      </w:pPr>
      <w:r w:rsidRPr="003F67A8">
        <w:rPr>
          <w:rFonts w:ascii="Times New Roman" w:hAnsiTheme="minorEastAsia" w:cs="Times New Roman"/>
          <w:sz w:val="24"/>
          <w:szCs w:val="24"/>
        </w:rPr>
        <w:t>题目：鱼油对非酒精性脂肪性肝病患者营养干预效应研究</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imes New Roman" w:cs="Times New Roman"/>
          <w:kern w:val="0"/>
          <w:sz w:val="24"/>
          <w:szCs w:val="24"/>
        </w:rPr>
        <w:t xml:space="preserve">1 </w:t>
      </w:r>
      <w:r w:rsidRPr="003F67A8">
        <w:rPr>
          <w:rFonts w:ascii="Times New Roman" w:hAnsiTheme="minorEastAsia" w:cs="Times New Roman"/>
          <w:kern w:val="0"/>
          <w:sz w:val="24"/>
          <w:szCs w:val="24"/>
        </w:rPr>
        <w:t>研究对象的选择</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在</w:t>
      </w:r>
      <w:r w:rsidR="00416AA0" w:rsidRPr="003F67A8">
        <w:rPr>
          <w:rFonts w:ascii="Times New Roman" w:hAnsiTheme="minorEastAsia" w:cs="Times New Roman"/>
          <w:kern w:val="0"/>
          <w:sz w:val="24"/>
          <w:szCs w:val="24"/>
        </w:rPr>
        <w:t>重庆市沙坪坝区常住居民中募集患有</w:t>
      </w:r>
      <w:r w:rsidR="00416AA0" w:rsidRPr="003F67A8">
        <w:rPr>
          <w:rFonts w:ascii="Times New Roman" w:hAnsiTheme="minorEastAsia" w:cs="Times New Roman"/>
          <w:sz w:val="24"/>
          <w:szCs w:val="24"/>
        </w:rPr>
        <w:t>非酒精性脂肪性肝病（</w:t>
      </w:r>
      <w:r w:rsidR="00416AA0" w:rsidRPr="003F67A8">
        <w:rPr>
          <w:rFonts w:ascii="Times New Roman" w:hAnsi="Times New Roman" w:cs="Times New Roman"/>
          <w:sz w:val="24"/>
          <w:szCs w:val="24"/>
        </w:rPr>
        <w:t>NAFLD</w:t>
      </w:r>
      <w:r w:rsidR="00416AA0" w:rsidRPr="003F67A8">
        <w:rPr>
          <w:rFonts w:ascii="Times New Roman" w:hAnsiTheme="minorEastAsia" w:cs="Times New Roman"/>
          <w:sz w:val="24"/>
          <w:szCs w:val="24"/>
        </w:rPr>
        <w:t>）的</w:t>
      </w:r>
      <w:r w:rsidR="00416AA0" w:rsidRPr="003F67A8">
        <w:rPr>
          <w:rFonts w:ascii="Times New Roman" w:hAnsiTheme="minorEastAsia" w:cs="Times New Roman"/>
          <w:kern w:val="0"/>
          <w:sz w:val="24"/>
          <w:szCs w:val="24"/>
        </w:rPr>
        <w:t>志愿者。</w:t>
      </w:r>
      <w:r w:rsidRPr="003F67A8">
        <w:rPr>
          <w:rFonts w:ascii="Times New Roman" w:hAnsiTheme="minorEastAsia" w:cs="Times New Roman"/>
          <w:kern w:val="0"/>
          <w:sz w:val="24"/>
          <w:szCs w:val="24"/>
        </w:rPr>
        <w:t>受试人员经课题组人员的解释和说明后，自愿参加本研究并签署知情同意书。</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纳入标准：符合以下所有条件者，可以纳入试验。①年龄在</w:t>
      </w:r>
      <w:r w:rsidRPr="003F67A8">
        <w:rPr>
          <w:rFonts w:ascii="Times New Roman" w:hAnsi="Times New Roman" w:cs="Times New Roman"/>
          <w:kern w:val="0"/>
          <w:sz w:val="24"/>
          <w:szCs w:val="24"/>
        </w:rPr>
        <w:t>20-60</w:t>
      </w:r>
      <w:r w:rsidRPr="003F67A8">
        <w:rPr>
          <w:rFonts w:ascii="Times New Roman" w:hAnsiTheme="minorEastAsia" w:cs="Times New Roman"/>
          <w:kern w:val="0"/>
          <w:sz w:val="24"/>
          <w:szCs w:val="24"/>
        </w:rPr>
        <w:t>岁，重庆市常住居民（在重庆市居住</w:t>
      </w:r>
      <w:r w:rsidRPr="003F67A8">
        <w:rPr>
          <w:rFonts w:ascii="Times New Roman" w:hAnsi="Times New Roman" w:cs="Times New Roman"/>
          <w:kern w:val="0"/>
          <w:sz w:val="24"/>
          <w:szCs w:val="24"/>
        </w:rPr>
        <w:t>5</w:t>
      </w:r>
      <w:r w:rsidRPr="003F67A8">
        <w:rPr>
          <w:rFonts w:ascii="Times New Roman" w:hAnsiTheme="minorEastAsia" w:cs="Times New Roman"/>
          <w:kern w:val="0"/>
          <w:sz w:val="24"/>
          <w:szCs w:val="24"/>
        </w:rPr>
        <w:t>年以上者）；②</w:t>
      </w:r>
      <w:r w:rsidRPr="003F67A8">
        <w:rPr>
          <w:rFonts w:ascii="Times New Roman" w:hAnsi="Times New Roman" w:cs="Times New Roman"/>
          <w:kern w:val="0"/>
          <w:sz w:val="24"/>
          <w:szCs w:val="24"/>
        </w:rPr>
        <w:t>B</w:t>
      </w:r>
      <w:r w:rsidRPr="003F67A8">
        <w:rPr>
          <w:rFonts w:ascii="Times New Roman" w:hAnsiTheme="minorEastAsia" w:cs="Times New Roman"/>
          <w:kern w:val="0"/>
          <w:sz w:val="24"/>
          <w:szCs w:val="24"/>
        </w:rPr>
        <w:t>超和肝功检查诊断为</w:t>
      </w:r>
      <w:r w:rsidRPr="003F67A8">
        <w:rPr>
          <w:rFonts w:ascii="Times New Roman" w:hAnsiTheme="minorEastAsia" w:cs="Times New Roman"/>
          <w:sz w:val="24"/>
          <w:szCs w:val="24"/>
        </w:rPr>
        <w:t>中度</w:t>
      </w:r>
      <w:r w:rsidRPr="003F67A8">
        <w:rPr>
          <w:rFonts w:ascii="Times New Roman" w:hAnsi="Times New Roman" w:cs="Times New Roman"/>
          <w:sz w:val="24"/>
          <w:szCs w:val="24"/>
        </w:rPr>
        <w:t>NASH</w:t>
      </w:r>
      <w:r w:rsidRPr="003F67A8">
        <w:rPr>
          <w:rFonts w:ascii="Times New Roman" w:hAnsiTheme="minorEastAsia" w:cs="Times New Roman"/>
          <w:sz w:val="24"/>
          <w:szCs w:val="24"/>
        </w:rPr>
        <w:t>且未使用药物治疗者</w:t>
      </w:r>
      <w:r w:rsidRPr="003F67A8">
        <w:rPr>
          <w:rFonts w:ascii="Times New Roman" w:hAnsiTheme="minorEastAsia" w:cs="Times New Roman"/>
          <w:kern w:val="0"/>
          <w:sz w:val="24"/>
          <w:szCs w:val="24"/>
        </w:rPr>
        <w:t>；③</w:t>
      </w:r>
      <w:r w:rsidRPr="003F67A8">
        <w:rPr>
          <w:rFonts w:ascii="Times New Roman" w:hAnsi="Times New Roman" w:cs="Times New Roman"/>
          <w:kern w:val="0"/>
          <w:sz w:val="24"/>
          <w:szCs w:val="24"/>
        </w:rPr>
        <w:t>BMI&gt;20</w:t>
      </w:r>
      <w:r w:rsidRPr="003F67A8">
        <w:rPr>
          <w:rFonts w:ascii="Times New Roman" w:hAnsiTheme="minorEastAsia" w:cs="Times New Roman"/>
          <w:kern w:val="0"/>
          <w:sz w:val="24"/>
          <w:szCs w:val="24"/>
        </w:rPr>
        <w:t>且</w:t>
      </w:r>
      <w:r w:rsidRPr="003F67A8">
        <w:rPr>
          <w:rFonts w:ascii="Times New Roman" w:hAnsi="Times New Roman" w:cs="Times New Roman"/>
          <w:kern w:val="0"/>
          <w:sz w:val="24"/>
          <w:szCs w:val="24"/>
        </w:rPr>
        <w:t>&lt;30</w:t>
      </w:r>
      <w:r w:rsidRPr="003F67A8">
        <w:rPr>
          <w:rFonts w:ascii="Times New Roman" w:hAnsiTheme="minorEastAsia" w:cs="Times New Roman"/>
          <w:kern w:val="0"/>
          <w:sz w:val="24"/>
          <w:szCs w:val="24"/>
        </w:rPr>
        <w:t>，近三个月内体重稳定；④</w:t>
      </w:r>
      <w:r w:rsidR="00416AA0" w:rsidRPr="003F67A8">
        <w:rPr>
          <w:rFonts w:ascii="Times New Roman" w:hAnsiTheme="minorEastAsia" w:cs="Times New Roman"/>
          <w:kern w:val="0"/>
          <w:sz w:val="24"/>
          <w:szCs w:val="24"/>
        </w:rPr>
        <w:t>每周饮用酒精量在男性</w:t>
      </w:r>
      <w:r w:rsidR="00416AA0" w:rsidRPr="003F67A8">
        <w:rPr>
          <w:rFonts w:ascii="Times New Roman" w:hAnsi="Times New Roman" w:cs="Times New Roman"/>
          <w:kern w:val="0"/>
          <w:sz w:val="24"/>
          <w:szCs w:val="24"/>
        </w:rPr>
        <w:t>&lt;140g</w:t>
      </w:r>
      <w:r w:rsidR="00416AA0" w:rsidRPr="003F67A8">
        <w:rPr>
          <w:rFonts w:ascii="Times New Roman" w:hAnsiTheme="minorEastAsia" w:cs="Times New Roman"/>
          <w:kern w:val="0"/>
          <w:sz w:val="24"/>
          <w:szCs w:val="24"/>
        </w:rPr>
        <w:t>，女性</w:t>
      </w:r>
      <w:r w:rsidR="00416AA0" w:rsidRPr="003F67A8">
        <w:rPr>
          <w:rFonts w:ascii="Times New Roman" w:hAnsi="Times New Roman" w:cs="Times New Roman"/>
          <w:kern w:val="0"/>
          <w:sz w:val="24"/>
          <w:szCs w:val="24"/>
        </w:rPr>
        <w:t>&lt;70g</w:t>
      </w:r>
      <w:r w:rsidRPr="003F67A8">
        <w:rPr>
          <w:rFonts w:ascii="Times New Roman" w:hAnsiTheme="minorEastAsia" w:cs="Times New Roman"/>
          <w:kern w:val="0"/>
          <w:sz w:val="24"/>
          <w:szCs w:val="24"/>
        </w:rPr>
        <w:t>。</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排除标准：有下列情况之一者，则排除试验。①肝炎病毒感染者。②近半年内服用过任何明确影响血脂、血糖代谢的药物。③患有胃肠道疾病、各种严重的慢性疾病或肝肾功能不全、恶性肿瘤的患者。④研究前一个月内曾患有急慢性感染性疾病、外伤或手术。⑤依从性差的患者（即不能保证完成</w:t>
      </w:r>
      <w:r w:rsidRPr="003F67A8">
        <w:rPr>
          <w:rFonts w:ascii="Times New Roman" w:hAnsi="Times New Roman" w:cs="Times New Roman"/>
          <w:kern w:val="0"/>
          <w:sz w:val="24"/>
          <w:szCs w:val="24"/>
        </w:rPr>
        <w:t>12</w:t>
      </w:r>
      <w:r w:rsidRPr="003F67A8">
        <w:rPr>
          <w:rFonts w:ascii="Times New Roman" w:hAnsiTheme="minorEastAsia" w:cs="Times New Roman"/>
          <w:kern w:val="0"/>
          <w:sz w:val="24"/>
          <w:szCs w:val="24"/>
        </w:rPr>
        <w:t>个月的干预和复诊）。</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imes New Roman" w:cs="Times New Roman"/>
          <w:kern w:val="0"/>
          <w:sz w:val="24"/>
          <w:szCs w:val="24"/>
        </w:rPr>
        <w:t xml:space="preserve">2 </w:t>
      </w:r>
      <w:r w:rsidRPr="003F67A8">
        <w:rPr>
          <w:rFonts w:ascii="Times New Roman" w:hAnsiTheme="minorEastAsia" w:cs="Times New Roman"/>
          <w:kern w:val="0"/>
          <w:sz w:val="24"/>
          <w:szCs w:val="24"/>
        </w:rPr>
        <w:t>试验设计</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采用随机、双盲、平行对照试验设计。</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1</w:t>
      </w:r>
      <w:r w:rsidRPr="003F67A8">
        <w:rPr>
          <w:rFonts w:ascii="Times New Roman" w:hAnsiTheme="minorEastAsia" w:cs="Times New Roman"/>
          <w:kern w:val="0"/>
          <w:sz w:val="24"/>
          <w:szCs w:val="24"/>
        </w:rPr>
        <w:t>）样本量估计</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lastRenderedPageBreak/>
        <w:t>本研究为平行对照试验设计，按照相应公式计算研究所需样本量。考虑</w:t>
      </w:r>
      <w:r w:rsidRPr="003F67A8">
        <w:rPr>
          <w:rFonts w:ascii="Times New Roman" w:hAnsi="Times New Roman" w:cs="Times New Roman"/>
          <w:kern w:val="0"/>
          <w:sz w:val="24"/>
          <w:szCs w:val="24"/>
        </w:rPr>
        <w:t>20%</w:t>
      </w:r>
      <w:r w:rsidRPr="003F67A8">
        <w:rPr>
          <w:rFonts w:ascii="Times New Roman" w:hAnsiTheme="minorEastAsia" w:cs="Times New Roman"/>
          <w:kern w:val="0"/>
          <w:sz w:val="24"/>
          <w:szCs w:val="24"/>
        </w:rPr>
        <w:t>的失访率，每组需要</w:t>
      </w:r>
      <w:r w:rsidR="003F67A8">
        <w:rPr>
          <w:rFonts w:ascii="Times New Roman" w:hAnsiTheme="minorEastAsia" w:cs="Times New Roman" w:hint="eastAsia"/>
          <w:kern w:val="0"/>
          <w:sz w:val="24"/>
          <w:szCs w:val="24"/>
        </w:rPr>
        <w:t>4</w:t>
      </w:r>
      <w:r w:rsidRPr="003F67A8">
        <w:rPr>
          <w:rFonts w:ascii="Times New Roman" w:hAnsi="Times New Roman" w:cs="Times New Roman"/>
          <w:kern w:val="0"/>
          <w:sz w:val="24"/>
          <w:szCs w:val="24"/>
        </w:rPr>
        <w:t>0</w:t>
      </w:r>
      <w:r w:rsidR="00302EA8" w:rsidRPr="003F67A8">
        <w:rPr>
          <w:rFonts w:ascii="Times New Roman" w:hAnsiTheme="minorEastAsia" w:cs="Times New Roman"/>
          <w:kern w:val="0"/>
          <w:sz w:val="24"/>
          <w:szCs w:val="24"/>
        </w:rPr>
        <w:t>名</w:t>
      </w:r>
      <w:r w:rsidRPr="003F67A8">
        <w:rPr>
          <w:rFonts w:ascii="Times New Roman" w:hAnsiTheme="minorEastAsia" w:cs="Times New Roman"/>
          <w:kern w:val="0"/>
          <w:sz w:val="24"/>
          <w:szCs w:val="24"/>
        </w:rPr>
        <w:t>研究对象，共需</w:t>
      </w:r>
      <w:r w:rsidR="003F67A8">
        <w:rPr>
          <w:rFonts w:ascii="Times New Roman" w:hAnsi="Times New Roman" w:cs="Times New Roman" w:hint="eastAsia"/>
          <w:kern w:val="0"/>
          <w:sz w:val="24"/>
          <w:szCs w:val="24"/>
        </w:rPr>
        <w:t>8</w:t>
      </w:r>
      <w:r w:rsidR="00754BF1" w:rsidRPr="003F67A8">
        <w:rPr>
          <w:rFonts w:ascii="Times New Roman" w:hAnsi="Times New Roman" w:cs="Times New Roman"/>
          <w:kern w:val="0"/>
          <w:sz w:val="24"/>
          <w:szCs w:val="24"/>
        </w:rPr>
        <w:t>0</w:t>
      </w:r>
      <w:r w:rsidR="00754BF1" w:rsidRPr="003F67A8">
        <w:rPr>
          <w:rFonts w:ascii="Times New Roman" w:hAnsiTheme="minorEastAsia" w:cs="Times New Roman"/>
          <w:kern w:val="0"/>
          <w:sz w:val="24"/>
          <w:szCs w:val="24"/>
        </w:rPr>
        <w:t>名</w:t>
      </w:r>
      <w:r w:rsidRPr="003F67A8">
        <w:rPr>
          <w:rFonts w:ascii="Times New Roman" w:hAnsiTheme="minorEastAsia" w:cs="Times New Roman"/>
          <w:kern w:val="0"/>
          <w:sz w:val="24"/>
          <w:szCs w:val="24"/>
        </w:rPr>
        <w:t>研究对象。</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2</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试验分组及试验实施</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①</w:t>
      </w:r>
      <w:r w:rsidR="00302EA8"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试验分组</w:t>
      </w:r>
      <w:r w:rsidR="00693CC5" w:rsidRPr="003F67A8">
        <w:rPr>
          <w:rFonts w:ascii="Times New Roman" w:hAnsiTheme="minorEastAsia" w:cs="Times New Roman"/>
          <w:kern w:val="0"/>
          <w:sz w:val="24"/>
          <w:szCs w:val="24"/>
        </w:rPr>
        <w:t>和盲法实施</w:t>
      </w:r>
      <w:r w:rsidRPr="003F67A8">
        <w:rPr>
          <w:rFonts w:ascii="Times New Roman" w:hAnsiTheme="minorEastAsia" w:cs="Times New Roman"/>
          <w:kern w:val="0"/>
          <w:sz w:val="24"/>
          <w:szCs w:val="24"/>
        </w:rPr>
        <w:t>：符合要求的研究对象，</w:t>
      </w:r>
      <w:r w:rsidRPr="003F67A8">
        <w:rPr>
          <w:rFonts w:ascii="Times New Roman" w:hAnsi="Times New Roman" w:cs="Times New Roman"/>
          <w:kern w:val="0"/>
          <w:sz w:val="24"/>
          <w:szCs w:val="24"/>
        </w:rPr>
        <w:t>SPSS</w:t>
      </w:r>
      <w:r w:rsidRPr="003F67A8">
        <w:rPr>
          <w:rFonts w:ascii="Times New Roman" w:hAnsiTheme="minorEastAsia" w:cs="Times New Roman"/>
          <w:sz w:val="24"/>
          <w:szCs w:val="24"/>
        </w:rPr>
        <w:t>软件产生</w:t>
      </w:r>
      <w:r w:rsidRPr="003F67A8">
        <w:rPr>
          <w:rFonts w:ascii="Times New Roman" w:hAnsiTheme="minorEastAsia" w:cs="Times New Roman"/>
          <w:kern w:val="0"/>
          <w:sz w:val="24"/>
          <w:szCs w:val="24"/>
        </w:rPr>
        <w:t>随机序列，将研究对象随机分入对照组和鱼油组。</w:t>
      </w:r>
      <w:r w:rsidR="00693CC5" w:rsidRPr="003F67A8">
        <w:rPr>
          <w:rFonts w:ascii="Times New Roman" w:hAnsiTheme="minorEastAsia" w:cs="Times New Roman"/>
          <w:kern w:val="0"/>
          <w:sz w:val="24"/>
          <w:szCs w:val="24"/>
        </w:rPr>
        <w:t>随机序列保持在密封信封中，在试验结束后揭盲。受试人员和研究人员均不知道试验分组情况。</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②</w:t>
      </w:r>
      <w:r w:rsidR="00302EA8"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干预方法与干预周期：所有研究对象均接受营养教育和营养指导</w:t>
      </w:r>
      <w:r w:rsidR="00693CC5" w:rsidRPr="003F67A8">
        <w:rPr>
          <w:rFonts w:ascii="Times New Roman" w:hAnsiTheme="minorEastAsia" w:cs="Times New Roman"/>
          <w:kern w:val="0"/>
          <w:sz w:val="24"/>
          <w:szCs w:val="24"/>
        </w:rPr>
        <w:t>。</w:t>
      </w:r>
      <w:r w:rsidRPr="003F67A8">
        <w:rPr>
          <w:rFonts w:ascii="Times New Roman" w:hAnsiTheme="minorEastAsia" w:cs="Times New Roman"/>
          <w:kern w:val="0"/>
          <w:sz w:val="24"/>
          <w:szCs w:val="24"/>
        </w:rPr>
        <w:t>各干预品均制成统一胶囊包装，外形、内容物都无明显外观差异，重量一致，只是对照组不含鱼油，鱼油组的胶囊每粒含</w:t>
      </w:r>
      <w:r w:rsidRPr="003F67A8">
        <w:rPr>
          <w:rFonts w:ascii="Times New Roman" w:hAnsi="Times New Roman" w:cs="Times New Roman"/>
          <w:kern w:val="0"/>
          <w:sz w:val="24"/>
          <w:szCs w:val="24"/>
        </w:rPr>
        <w:t>1g</w:t>
      </w:r>
      <w:r w:rsidRPr="003F67A8">
        <w:rPr>
          <w:rFonts w:ascii="Times New Roman" w:hAnsiTheme="minorEastAsia" w:cs="Times New Roman"/>
          <w:kern w:val="0"/>
          <w:sz w:val="24"/>
          <w:szCs w:val="24"/>
        </w:rPr>
        <w:t>鱼油。早晚各服</w:t>
      </w:r>
      <w:r w:rsidRPr="003F67A8">
        <w:rPr>
          <w:rFonts w:ascii="Times New Roman" w:hAnsi="Times New Roman" w:cs="Times New Roman"/>
          <w:kern w:val="0"/>
          <w:sz w:val="24"/>
          <w:szCs w:val="24"/>
        </w:rPr>
        <w:t>1</w:t>
      </w:r>
      <w:r w:rsidRPr="003F67A8">
        <w:rPr>
          <w:rFonts w:ascii="Times New Roman" w:hAnsiTheme="minorEastAsia" w:cs="Times New Roman"/>
          <w:kern w:val="0"/>
          <w:sz w:val="24"/>
          <w:szCs w:val="24"/>
        </w:rPr>
        <w:t>次，每次</w:t>
      </w:r>
      <w:r w:rsidRPr="003F67A8">
        <w:rPr>
          <w:rFonts w:ascii="Times New Roman" w:hAnsi="Times New Roman" w:cs="Times New Roman"/>
          <w:kern w:val="0"/>
          <w:sz w:val="24"/>
          <w:szCs w:val="24"/>
        </w:rPr>
        <w:t>2</w:t>
      </w:r>
      <w:r w:rsidRPr="003F67A8">
        <w:rPr>
          <w:rFonts w:ascii="Times New Roman" w:hAnsiTheme="minorEastAsia" w:cs="Times New Roman"/>
          <w:kern w:val="0"/>
          <w:sz w:val="24"/>
          <w:szCs w:val="24"/>
        </w:rPr>
        <w:t>粒。向参与试验人员一次分发</w:t>
      </w:r>
      <w:r w:rsidRPr="003F67A8">
        <w:rPr>
          <w:rFonts w:ascii="Times New Roman" w:hAnsi="Times New Roman" w:cs="Times New Roman"/>
          <w:kern w:val="0"/>
          <w:sz w:val="24"/>
          <w:szCs w:val="24"/>
        </w:rPr>
        <w:t>2</w:t>
      </w:r>
      <w:r w:rsidRPr="003F67A8">
        <w:rPr>
          <w:rFonts w:ascii="Times New Roman" w:hAnsiTheme="minorEastAsia" w:cs="Times New Roman"/>
          <w:kern w:val="0"/>
          <w:sz w:val="24"/>
          <w:szCs w:val="24"/>
        </w:rPr>
        <w:t>周样品，并嘱咐其按要求登记服用情况。每次发放时询问和检查前一次服用干预品的情况，了解患者有无不良反应及其种类。干预</w:t>
      </w:r>
      <w:r w:rsidR="00AC3AD8" w:rsidRPr="003F67A8">
        <w:rPr>
          <w:rFonts w:ascii="Times New Roman" w:hAnsi="Times New Roman" w:cs="Times New Roman"/>
          <w:kern w:val="0"/>
          <w:sz w:val="24"/>
          <w:szCs w:val="24"/>
        </w:rPr>
        <w:t>3</w:t>
      </w:r>
      <w:r w:rsidRPr="003F67A8">
        <w:rPr>
          <w:rFonts w:ascii="Times New Roman" w:hAnsiTheme="minorEastAsia" w:cs="Times New Roman"/>
          <w:kern w:val="0"/>
          <w:sz w:val="24"/>
          <w:szCs w:val="24"/>
        </w:rPr>
        <w:t>个月。</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③</w:t>
      </w:r>
      <w:r w:rsidR="00302EA8"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随访：干预</w:t>
      </w:r>
      <w:r w:rsidR="00AC3AD8" w:rsidRPr="003F67A8">
        <w:rPr>
          <w:rFonts w:ascii="Times New Roman" w:hAnsi="Times New Roman" w:cs="Times New Roman"/>
          <w:kern w:val="0"/>
          <w:sz w:val="24"/>
          <w:szCs w:val="24"/>
        </w:rPr>
        <w:t>3</w:t>
      </w:r>
      <w:r w:rsidR="00AC3AD8" w:rsidRPr="003F67A8">
        <w:rPr>
          <w:rFonts w:ascii="Times New Roman" w:hAnsiTheme="minorEastAsia" w:cs="Times New Roman"/>
          <w:kern w:val="0"/>
          <w:sz w:val="24"/>
          <w:szCs w:val="24"/>
        </w:rPr>
        <w:t>个</w:t>
      </w:r>
      <w:r w:rsidRPr="003F67A8">
        <w:rPr>
          <w:rFonts w:ascii="Times New Roman" w:hAnsiTheme="minorEastAsia" w:cs="Times New Roman"/>
          <w:kern w:val="0"/>
          <w:sz w:val="24"/>
          <w:szCs w:val="24"/>
        </w:rPr>
        <w:t>月时，完成相关医学检查、膳食调查，收集研究对象清晨空腹血样用于指标检测。</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imes New Roman" w:cs="Times New Roman"/>
          <w:kern w:val="0"/>
          <w:sz w:val="24"/>
          <w:szCs w:val="24"/>
        </w:rPr>
        <w:t xml:space="preserve">3 </w:t>
      </w:r>
      <w:r w:rsidRPr="003F67A8">
        <w:rPr>
          <w:rFonts w:ascii="Times New Roman" w:hAnsiTheme="minorEastAsia" w:cs="Times New Roman"/>
          <w:kern w:val="0"/>
          <w:sz w:val="24"/>
          <w:szCs w:val="24"/>
        </w:rPr>
        <w:t>基本情况调查</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采用统一的调查表，经统一培训的调查员面对面询问研究对象，并根据其回答如实填写问卷。所有研究对象进行基本情况、健康状况、生活方式调查，主要内容包括：①</w:t>
      </w:r>
      <w:r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基本情况：姓名、年龄、性别等；②</w:t>
      </w:r>
      <w:r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基本人口社会学特征：职业、教育程度、婚姻状况、家庭收入；③</w:t>
      </w:r>
      <w:r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生活方式：饮酒、吸烟、运动情况、饮茶等；④</w:t>
      </w:r>
      <w:r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疾病史和家族史；⑤服用药物和营养补充剂</w:t>
      </w:r>
      <w:r w:rsidRPr="003F67A8">
        <w:rPr>
          <w:rFonts w:ascii="Times New Roman" w:hAnsi="Times New Roman" w:cs="Times New Roman"/>
          <w:kern w:val="0"/>
          <w:sz w:val="24"/>
          <w:szCs w:val="24"/>
        </w:rPr>
        <w:t>(</w:t>
      </w:r>
      <w:r w:rsidRPr="003F67A8">
        <w:rPr>
          <w:rFonts w:ascii="Times New Roman" w:hAnsiTheme="minorEastAsia" w:cs="Times New Roman"/>
          <w:kern w:val="0"/>
          <w:sz w:val="24"/>
          <w:szCs w:val="24"/>
        </w:rPr>
        <w:t>包括多酚类保健品或补充剂、抗氧化类维生素，如大豆异黄酮、茶多酚、维生素</w:t>
      </w:r>
      <w:r w:rsidRPr="003F67A8">
        <w:rPr>
          <w:rFonts w:ascii="Times New Roman" w:hAnsi="Times New Roman" w:cs="Times New Roman"/>
          <w:kern w:val="0"/>
          <w:sz w:val="24"/>
          <w:szCs w:val="24"/>
        </w:rPr>
        <w:t>E</w:t>
      </w:r>
      <w:r w:rsidRPr="003F67A8">
        <w:rPr>
          <w:rFonts w:ascii="Times New Roman" w:hAnsiTheme="minorEastAsia" w:cs="Times New Roman"/>
          <w:kern w:val="0"/>
          <w:sz w:val="24"/>
          <w:szCs w:val="24"/>
        </w:rPr>
        <w:t>等</w:t>
      </w:r>
      <w:r w:rsidRPr="003F67A8">
        <w:rPr>
          <w:rFonts w:ascii="Times New Roman" w:hAnsi="Times New Roman" w:cs="Times New Roman"/>
          <w:kern w:val="0"/>
          <w:sz w:val="24"/>
          <w:szCs w:val="24"/>
        </w:rPr>
        <w:t>)</w:t>
      </w:r>
      <w:r w:rsidRPr="003F67A8">
        <w:rPr>
          <w:rFonts w:ascii="Times New Roman" w:hAnsiTheme="minorEastAsia" w:cs="Times New Roman"/>
          <w:kern w:val="0"/>
          <w:sz w:val="24"/>
          <w:szCs w:val="24"/>
        </w:rPr>
        <w:t>情况等。</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imes New Roman" w:cs="Times New Roman"/>
          <w:kern w:val="0"/>
          <w:sz w:val="24"/>
          <w:szCs w:val="24"/>
        </w:rPr>
        <w:t xml:space="preserve">4 </w:t>
      </w:r>
      <w:r w:rsidRPr="003F67A8">
        <w:rPr>
          <w:rFonts w:ascii="Times New Roman" w:hAnsiTheme="minorEastAsia" w:cs="Times New Roman"/>
          <w:kern w:val="0"/>
          <w:sz w:val="24"/>
          <w:szCs w:val="24"/>
        </w:rPr>
        <w:t>膳食调查与膳食控制</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膳食调查：选用本实验室制定的针对重庆地区居民的半定量食物频数问卷</w:t>
      </w:r>
      <w:r w:rsidRPr="003F67A8">
        <w:rPr>
          <w:rFonts w:ascii="Times New Roman" w:hAnsi="Times New Roman" w:cs="Times New Roman"/>
          <w:kern w:val="0"/>
          <w:sz w:val="24"/>
          <w:szCs w:val="24"/>
        </w:rPr>
        <w:lastRenderedPageBreak/>
        <w:t>(SQFFQ)</w:t>
      </w:r>
      <w:r w:rsidRPr="003F67A8">
        <w:rPr>
          <w:rFonts w:ascii="Times New Roman" w:hAnsiTheme="minorEastAsia" w:cs="Times New Roman"/>
          <w:kern w:val="0"/>
          <w:sz w:val="24"/>
          <w:szCs w:val="24"/>
        </w:rPr>
        <w:t>作为膳食评价工具，同时结合膳食记录法和称量法进行膳食调查。所有研究对象在干预前接受食物频数问卷调查，由专职调查员统一询问受试对象近</w:t>
      </w:r>
      <w:r w:rsidRPr="003F67A8">
        <w:rPr>
          <w:rFonts w:ascii="Times New Roman" w:hAnsi="Times New Roman" w:cs="Times New Roman"/>
          <w:kern w:val="0"/>
          <w:sz w:val="24"/>
          <w:szCs w:val="24"/>
        </w:rPr>
        <w:t>1</w:t>
      </w:r>
      <w:r w:rsidRPr="003F67A8">
        <w:rPr>
          <w:rFonts w:ascii="Times New Roman" w:hAnsiTheme="minorEastAsia" w:cs="Times New Roman"/>
          <w:kern w:val="0"/>
          <w:sz w:val="24"/>
          <w:szCs w:val="24"/>
        </w:rPr>
        <w:t>年来的膳食摄入情况。</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干预试验期间的膳食控制：原则上在整个干预期间研究对象应尽量遵守我们提供的</w:t>
      </w:r>
      <w:r w:rsidRPr="003F67A8">
        <w:rPr>
          <w:rFonts w:ascii="Times New Roman" w:hAnsi="Times New Roman" w:cs="Times New Roman"/>
          <w:kern w:val="0"/>
          <w:sz w:val="24"/>
          <w:szCs w:val="24"/>
        </w:rPr>
        <w:t>NAFLD</w:t>
      </w:r>
      <w:r w:rsidRPr="003F67A8">
        <w:rPr>
          <w:rFonts w:ascii="Times New Roman" w:hAnsiTheme="minorEastAsia" w:cs="Times New Roman"/>
          <w:kern w:val="0"/>
          <w:sz w:val="24"/>
          <w:szCs w:val="24"/>
        </w:rPr>
        <w:t>膳食指导原则。另外忌服各种形式含植物多酚类的营养补品或保健食品。</w:t>
      </w:r>
    </w:p>
    <w:p w:rsidR="00302EA8"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imes New Roman" w:cs="Times New Roman"/>
          <w:kern w:val="0"/>
          <w:sz w:val="24"/>
          <w:szCs w:val="24"/>
        </w:rPr>
        <w:t xml:space="preserve">5 </w:t>
      </w:r>
      <w:r w:rsidRPr="003F67A8">
        <w:rPr>
          <w:rFonts w:ascii="Times New Roman" w:hAnsiTheme="minorEastAsia" w:cs="Times New Roman"/>
          <w:kern w:val="0"/>
          <w:sz w:val="24"/>
          <w:szCs w:val="24"/>
        </w:rPr>
        <w:t>主要观察指标</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1</w:t>
      </w:r>
      <w:r w:rsidRPr="003F67A8">
        <w:rPr>
          <w:rFonts w:ascii="Times New Roman" w:hAnsiTheme="minorEastAsia" w:cs="Times New Roman"/>
          <w:kern w:val="0"/>
          <w:sz w:val="24"/>
          <w:szCs w:val="24"/>
        </w:rPr>
        <w:t>）鱼油干预对</w:t>
      </w:r>
      <w:r w:rsidRPr="003F67A8">
        <w:rPr>
          <w:rFonts w:ascii="Times New Roman" w:hAnsi="Times New Roman" w:cs="Times New Roman"/>
          <w:kern w:val="0"/>
          <w:sz w:val="24"/>
          <w:szCs w:val="24"/>
        </w:rPr>
        <w:t>NAFLD</w:t>
      </w:r>
      <w:r w:rsidRPr="003F67A8">
        <w:rPr>
          <w:rFonts w:ascii="Times New Roman" w:hAnsiTheme="minorEastAsia" w:cs="Times New Roman"/>
          <w:kern w:val="0"/>
          <w:sz w:val="24"/>
          <w:szCs w:val="24"/>
        </w:rPr>
        <w:t>患者体脂含量及分布影响</w:t>
      </w:r>
    </w:p>
    <w:p w:rsidR="00302EA8"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一般医学指标检测：测量身高、体重、腰围、臀围、上臂围、皮褶厚度和血压，并计算体质指数（</w:t>
      </w:r>
      <w:r w:rsidRPr="003F67A8">
        <w:rPr>
          <w:rFonts w:ascii="Times New Roman" w:hAnsi="Times New Roman" w:cs="Times New Roman"/>
          <w:kern w:val="0"/>
          <w:sz w:val="24"/>
          <w:szCs w:val="24"/>
        </w:rPr>
        <w:t>BMI</w:t>
      </w:r>
      <w:r w:rsidRPr="003F67A8">
        <w:rPr>
          <w:rFonts w:ascii="Times New Roman" w:hAnsiTheme="minorEastAsia" w:cs="Times New Roman"/>
          <w:kern w:val="0"/>
          <w:sz w:val="24"/>
          <w:szCs w:val="24"/>
        </w:rPr>
        <w:t>）和腰臀比（</w:t>
      </w:r>
      <w:r w:rsidRPr="003F67A8">
        <w:rPr>
          <w:rFonts w:ascii="Times New Roman" w:hAnsi="Times New Roman" w:cs="Times New Roman"/>
          <w:kern w:val="0"/>
          <w:sz w:val="24"/>
          <w:szCs w:val="24"/>
        </w:rPr>
        <w:t>WHR</w:t>
      </w:r>
      <w:r w:rsidRPr="003F67A8">
        <w:rPr>
          <w:rFonts w:ascii="Times New Roman" w:hAnsiTheme="minorEastAsia" w:cs="Times New Roman"/>
          <w:kern w:val="0"/>
          <w:sz w:val="24"/>
          <w:szCs w:val="24"/>
        </w:rPr>
        <w:t>）。</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2</w:t>
      </w:r>
      <w:r w:rsidRPr="003F67A8">
        <w:rPr>
          <w:rFonts w:ascii="Times New Roman" w:hAnsiTheme="minorEastAsia" w:cs="Times New Roman"/>
          <w:kern w:val="0"/>
          <w:sz w:val="24"/>
          <w:szCs w:val="24"/>
        </w:rPr>
        <w:t>）鱼油干预对</w:t>
      </w:r>
      <w:r w:rsidRPr="003F67A8">
        <w:rPr>
          <w:rFonts w:ascii="Times New Roman" w:hAnsi="Times New Roman" w:cs="Times New Roman"/>
          <w:kern w:val="0"/>
          <w:sz w:val="24"/>
          <w:szCs w:val="24"/>
        </w:rPr>
        <w:t>NAFLD</w:t>
      </w:r>
      <w:r w:rsidRPr="003F67A8">
        <w:rPr>
          <w:rFonts w:ascii="Times New Roman" w:hAnsiTheme="minorEastAsia" w:cs="Times New Roman"/>
          <w:kern w:val="0"/>
          <w:sz w:val="24"/>
          <w:szCs w:val="24"/>
        </w:rPr>
        <w:t>患者肝功的影响</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在第三军医大学西南医院、新桥医院健康体检中心采用全自动生化仪检测。重点分析</w:t>
      </w:r>
      <w:r w:rsidRPr="003F67A8">
        <w:rPr>
          <w:rFonts w:ascii="Times New Roman" w:hAnsi="Times New Roman" w:cs="Times New Roman"/>
          <w:kern w:val="0"/>
          <w:sz w:val="24"/>
          <w:szCs w:val="24"/>
        </w:rPr>
        <w:t>ALT</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AST</w:t>
      </w:r>
      <w:r w:rsidRPr="003F67A8">
        <w:rPr>
          <w:rFonts w:ascii="Times New Roman" w:hAnsiTheme="minorEastAsia" w:cs="Times New Roman"/>
          <w:kern w:val="0"/>
          <w:sz w:val="24"/>
          <w:szCs w:val="24"/>
        </w:rPr>
        <w:t>等指标。</w:t>
      </w:r>
    </w:p>
    <w:p w:rsidR="00E10C9A" w:rsidRPr="003F67A8" w:rsidRDefault="00E10C9A" w:rsidP="006F43A0">
      <w:pPr>
        <w:autoSpaceDE w:val="0"/>
        <w:autoSpaceDN w:val="0"/>
        <w:adjustRightInd w:val="0"/>
        <w:spacing w:line="480" w:lineRule="auto"/>
        <w:jc w:val="left"/>
        <w:rPr>
          <w:rFonts w:ascii="Times New Roman" w:hAnsi="Times New Roman" w:cs="Times New Roman"/>
          <w:kern w:val="0"/>
          <w:sz w:val="24"/>
          <w:szCs w:val="24"/>
        </w:rPr>
      </w:pP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3</w:t>
      </w:r>
      <w:r w:rsidRPr="003F67A8">
        <w:rPr>
          <w:rFonts w:ascii="Times New Roman" w:hAnsiTheme="minorEastAsia" w:cs="Times New Roman"/>
          <w:kern w:val="0"/>
          <w:sz w:val="24"/>
          <w:szCs w:val="24"/>
        </w:rPr>
        <w:t>）鱼油干预对</w:t>
      </w:r>
      <w:r w:rsidRPr="003F67A8">
        <w:rPr>
          <w:rFonts w:ascii="Times New Roman" w:hAnsi="Times New Roman" w:cs="Times New Roman"/>
          <w:kern w:val="0"/>
          <w:sz w:val="24"/>
          <w:szCs w:val="24"/>
        </w:rPr>
        <w:t>NAFLD</w:t>
      </w:r>
      <w:r w:rsidRPr="003F67A8">
        <w:rPr>
          <w:rFonts w:ascii="Times New Roman" w:hAnsiTheme="minorEastAsia" w:cs="Times New Roman"/>
          <w:kern w:val="0"/>
          <w:sz w:val="24"/>
          <w:szCs w:val="24"/>
        </w:rPr>
        <w:t>患者糖脂代谢的影响</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F67A8">
        <w:rPr>
          <w:rFonts w:ascii="Times New Roman" w:hAnsiTheme="minorEastAsia" w:cs="Times New Roman"/>
          <w:kern w:val="0"/>
          <w:sz w:val="24"/>
          <w:szCs w:val="24"/>
        </w:rPr>
        <w:t>①</w:t>
      </w:r>
      <w:r w:rsidR="00302EA8"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脂代谢指标：包括空腹血清</w:t>
      </w:r>
      <w:r w:rsidRPr="003F67A8">
        <w:rPr>
          <w:rFonts w:ascii="Times New Roman" w:hAnsi="Times New Roman" w:cs="Times New Roman"/>
          <w:kern w:val="0"/>
          <w:sz w:val="24"/>
          <w:szCs w:val="24"/>
        </w:rPr>
        <w:t>TC</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LDL-C</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HDL-C</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TG</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apoAI</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apoB</w:t>
      </w:r>
      <w:r w:rsidRPr="003F67A8">
        <w:rPr>
          <w:rFonts w:ascii="Times New Roman" w:hAnsiTheme="minorEastAsia" w:cs="Times New Roman"/>
          <w:kern w:val="0"/>
          <w:sz w:val="24"/>
          <w:szCs w:val="24"/>
        </w:rPr>
        <w:t>、游离脂肪酸等。</w:t>
      </w:r>
      <w:r w:rsidRPr="003F67A8">
        <w:rPr>
          <w:rFonts w:ascii="Times New Roman" w:hAnsi="Times New Roman" w:cs="Times New Roman"/>
          <w:kern w:val="0"/>
          <w:sz w:val="24"/>
          <w:szCs w:val="24"/>
        </w:rPr>
        <w:t>TC</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TG</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LDL-C</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HDL-C</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apoA</w:t>
      </w:r>
      <w:r w:rsidRPr="003F67A8">
        <w:rPr>
          <w:rFonts w:ascii="Times New Roman" w:hAnsiTheme="minorEastAsia" w:cs="Times New Roman"/>
          <w:kern w:val="0"/>
          <w:sz w:val="24"/>
          <w:szCs w:val="24"/>
        </w:rPr>
        <w:t>Ⅰ、</w:t>
      </w:r>
      <w:r w:rsidRPr="003F67A8">
        <w:rPr>
          <w:rFonts w:ascii="Times New Roman" w:hAnsi="Times New Roman" w:cs="Times New Roman"/>
          <w:kern w:val="0"/>
          <w:sz w:val="24"/>
          <w:szCs w:val="24"/>
        </w:rPr>
        <w:t>apoB</w:t>
      </w:r>
      <w:r w:rsidRPr="003F67A8">
        <w:rPr>
          <w:rFonts w:ascii="Times New Roman" w:hAnsiTheme="minorEastAsia" w:cs="Times New Roman"/>
          <w:kern w:val="0"/>
          <w:sz w:val="24"/>
          <w:szCs w:val="24"/>
        </w:rPr>
        <w:t>均用全自动生化仪检测；游离脂肪酸水平采用比色法测定。</w:t>
      </w:r>
    </w:p>
    <w:p w:rsidR="00E10C9A" w:rsidRPr="003F67A8" w:rsidRDefault="00E10C9A" w:rsidP="006F43A0">
      <w:pPr>
        <w:autoSpaceDE w:val="0"/>
        <w:autoSpaceDN w:val="0"/>
        <w:adjustRightInd w:val="0"/>
        <w:spacing w:line="480" w:lineRule="auto"/>
        <w:ind w:firstLineChars="200" w:firstLine="480"/>
        <w:jc w:val="left"/>
        <w:rPr>
          <w:rFonts w:ascii="Times New Roman" w:hAnsi="Times New Roman" w:cs="Times New Roman"/>
          <w:sz w:val="24"/>
          <w:szCs w:val="24"/>
        </w:rPr>
      </w:pPr>
      <w:r w:rsidRPr="003F67A8">
        <w:rPr>
          <w:rFonts w:ascii="Times New Roman" w:hAnsiTheme="minorEastAsia" w:cs="Times New Roman"/>
          <w:kern w:val="0"/>
          <w:sz w:val="24"/>
          <w:szCs w:val="24"/>
        </w:rPr>
        <w:t>②</w:t>
      </w:r>
      <w:r w:rsidR="00302EA8" w:rsidRPr="003F67A8">
        <w:rPr>
          <w:rFonts w:ascii="Times New Roman" w:hAnsi="Times New Roman" w:cs="Times New Roman"/>
          <w:kern w:val="0"/>
          <w:sz w:val="24"/>
          <w:szCs w:val="24"/>
        </w:rPr>
        <w:t xml:space="preserve"> </w:t>
      </w:r>
      <w:r w:rsidRPr="003F67A8">
        <w:rPr>
          <w:rFonts w:ascii="Times New Roman" w:hAnsiTheme="minorEastAsia" w:cs="Times New Roman"/>
          <w:kern w:val="0"/>
          <w:sz w:val="24"/>
          <w:szCs w:val="24"/>
        </w:rPr>
        <w:t>糖代谢指标：包括空腹血糖、胰岛素水平和</w:t>
      </w:r>
      <w:r w:rsidRPr="003F67A8">
        <w:rPr>
          <w:rFonts w:ascii="Times New Roman" w:hAnsi="Times New Roman" w:cs="Times New Roman"/>
          <w:kern w:val="0"/>
          <w:sz w:val="24"/>
          <w:szCs w:val="24"/>
        </w:rPr>
        <w:t>HOMA-IR</w:t>
      </w:r>
      <w:r w:rsidRPr="003F67A8">
        <w:rPr>
          <w:rFonts w:ascii="Times New Roman" w:hAnsiTheme="minorEastAsia" w:cs="Times New Roman"/>
          <w:kern w:val="0"/>
          <w:sz w:val="24"/>
          <w:szCs w:val="24"/>
        </w:rPr>
        <w:t>等。血糖采用葡萄糖氧化酶法测定，胰岛素水平采用</w:t>
      </w:r>
      <w:r w:rsidRPr="003F67A8">
        <w:rPr>
          <w:rFonts w:ascii="Times New Roman" w:hAnsi="Times New Roman" w:cs="Times New Roman"/>
          <w:kern w:val="0"/>
          <w:sz w:val="24"/>
          <w:szCs w:val="24"/>
        </w:rPr>
        <w:t>ELISA</w:t>
      </w:r>
      <w:r w:rsidRPr="003F67A8">
        <w:rPr>
          <w:rFonts w:ascii="Times New Roman" w:hAnsiTheme="minorEastAsia" w:cs="Times New Roman"/>
          <w:kern w:val="0"/>
          <w:sz w:val="24"/>
          <w:szCs w:val="24"/>
        </w:rPr>
        <w:t>法，计算</w:t>
      </w:r>
      <w:r w:rsidRPr="003F67A8">
        <w:rPr>
          <w:rFonts w:ascii="Times New Roman" w:hAnsi="Times New Roman" w:cs="Times New Roman"/>
          <w:kern w:val="0"/>
          <w:sz w:val="24"/>
          <w:szCs w:val="24"/>
        </w:rPr>
        <w:t>HOMA-IR=</w:t>
      </w:r>
      <w:r w:rsidRPr="003F67A8">
        <w:rPr>
          <w:rFonts w:ascii="Times New Roman" w:hAnsiTheme="minorEastAsia" w:cs="Times New Roman"/>
          <w:kern w:val="0"/>
          <w:sz w:val="24"/>
          <w:szCs w:val="24"/>
        </w:rPr>
        <w:t>空腹血糖（</w:t>
      </w:r>
      <w:r w:rsidRPr="003F67A8">
        <w:rPr>
          <w:rFonts w:ascii="Times New Roman" w:hAnsi="Times New Roman" w:cs="Times New Roman"/>
          <w:kern w:val="0"/>
          <w:sz w:val="24"/>
          <w:szCs w:val="24"/>
        </w:rPr>
        <w:t>mmol/L</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w:t>
      </w:r>
      <w:r w:rsidRPr="003F67A8">
        <w:rPr>
          <w:rFonts w:ascii="Times New Roman" w:hAnsiTheme="minorEastAsia" w:cs="Times New Roman"/>
          <w:kern w:val="0"/>
          <w:sz w:val="24"/>
          <w:szCs w:val="24"/>
        </w:rPr>
        <w:t>胰岛素（</w:t>
      </w:r>
      <w:r w:rsidRPr="003F67A8">
        <w:rPr>
          <w:rFonts w:ascii="Times New Roman" w:hAnsi="Times New Roman" w:cs="Times New Roman"/>
          <w:kern w:val="0"/>
          <w:sz w:val="24"/>
          <w:szCs w:val="24"/>
        </w:rPr>
        <w:t>μIU/m</w:t>
      </w:r>
      <w:r w:rsidR="00302EA8" w:rsidRPr="003F67A8">
        <w:rPr>
          <w:rFonts w:ascii="Times New Roman" w:hAnsi="Times New Roman" w:cs="Times New Roman"/>
          <w:kern w:val="0"/>
          <w:sz w:val="24"/>
          <w:szCs w:val="24"/>
        </w:rPr>
        <w:t>l</w:t>
      </w:r>
      <w:r w:rsidRPr="003F67A8">
        <w:rPr>
          <w:rFonts w:ascii="Times New Roman" w:hAnsiTheme="minorEastAsia" w:cs="Times New Roman"/>
          <w:kern w:val="0"/>
          <w:sz w:val="24"/>
          <w:szCs w:val="24"/>
        </w:rPr>
        <w:t>）</w:t>
      </w:r>
      <w:r w:rsidRPr="003F67A8">
        <w:rPr>
          <w:rFonts w:ascii="Times New Roman" w:hAnsi="Times New Roman" w:cs="Times New Roman"/>
          <w:kern w:val="0"/>
          <w:sz w:val="24"/>
          <w:szCs w:val="24"/>
        </w:rPr>
        <w:t>/22.5</w:t>
      </w:r>
      <w:r w:rsidRPr="003F67A8">
        <w:rPr>
          <w:rFonts w:ascii="Times New Roman" w:hAnsiTheme="minorEastAsia" w:cs="Times New Roman"/>
          <w:kern w:val="0"/>
          <w:sz w:val="24"/>
          <w:szCs w:val="24"/>
        </w:rPr>
        <w:t>。</w:t>
      </w:r>
    </w:p>
    <w:p w:rsidR="00372730" w:rsidRPr="003F67A8" w:rsidRDefault="00372730" w:rsidP="006F43A0">
      <w:pPr>
        <w:pStyle w:val="a4"/>
        <w:numPr>
          <w:ilvl w:val="0"/>
          <w:numId w:val="5"/>
        </w:numPr>
        <w:spacing w:line="480" w:lineRule="auto"/>
        <w:ind w:firstLineChars="0"/>
        <w:rPr>
          <w:rFonts w:ascii="Times New Roman" w:hAnsi="Times New Roman" w:cs="Times New Roman"/>
          <w:sz w:val="24"/>
          <w:szCs w:val="24"/>
        </w:rPr>
      </w:pPr>
      <w:r w:rsidRPr="003F67A8">
        <w:rPr>
          <w:rFonts w:ascii="Times New Roman" w:hAnsiTheme="minorEastAsia" w:cs="Times New Roman"/>
          <w:sz w:val="24"/>
          <w:szCs w:val="24"/>
        </w:rPr>
        <w:t>试验完成后的统计结果：</w:t>
      </w:r>
      <w:r w:rsidR="006F43A0" w:rsidRPr="003F67A8">
        <w:rPr>
          <w:rFonts w:ascii="Times New Roman" w:hAnsi="Times New Roman" w:cs="Times New Roman"/>
          <w:sz w:val="24"/>
          <w:szCs w:val="24"/>
        </w:rPr>
        <w:t xml:space="preserve"> </w:t>
      </w:r>
    </w:p>
    <w:p w:rsidR="006F43A0" w:rsidRPr="003F67A8" w:rsidRDefault="006F43A0" w:rsidP="006F43A0">
      <w:pPr>
        <w:spacing w:line="480" w:lineRule="auto"/>
        <w:ind w:firstLineChars="200" w:firstLine="480"/>
        <w:rPr>
          <w:rFonts w:ascii="Times New Roman" w:hAnsi="Times New Roman" w:cs="Times New Roman"/>
          <w:sz w:val="24"/>
          <w:szCs w:val="24"/>
        </w:rPr>
      </w:pPr>
      <w:r w:rsidRPr="003F67A8">
        <w:rPr>
          <w:rFonts w:ascii="Times New Roman" w:hAnsiTheme="minorEastAsia" w:cs="Times New Roman"/>
          <w:sz w:val="24"/>
          <w:szCs w:val="24"/>
        </w:rPr>
        <w:t>所有统计分析使用</w:t>
      </w:r>
      <w:r w:rsidRPr="003F67A8">
        <w:rPr>
          <w:rFonts w:ascii="Times New Roman" w:hAnsi="Times New Roman" w:cs="Times New Roman"/>
          <w:sz w:val="24"/>
          <w:szCs w:val="24"/>
        </w:rPr>
        <w:t xml:space="preserve">SPSS </w:t>
      </w:r>
      <w:r w:rsidRPr="003F67A8">
        <w:rPr>
          <w:rFonts w:ascii="Times New Roman" w:hAnsiTheme="minorEastAsia" w:cs="Times New Roman"/>
          <w:sz w:val="24"/>
          <w:szCs w:val="24"/>
        </w:rPr>
        <w:t>软件。符合正态分布的数据表示为均数</w:t>
      </w:r>
      <w:r w:rsidRPr="003F67A8">
        <w:rPr>
          <w:rFonts w:ascii="Times New Roman" w:hAnsi="Times New Roman" w:cs="Times New Roman"/>
          <w:sz w:val="24"/>
          <w:szCs w:val="24"/>
        </w:rPr>
        <w:t>±</w:t>
      </w:r>
      <w:r w:rsidRPr="003F67A8">
        <w:rPr>
          <w:rFonts w:ascii="Times New Roman" w:hAnsiTheme="minorEastAsia" w:cs="Times New Roman"/>
          <w:sz w:val="24"/>
          <w:szCs w:val="24"/>
        </w:rPr>
        <w:t>标准差。</w:t>
      </w:r>
      <w:r w:rsidRPr="003F67A8">
        <w:rPr>
          <w:rFonts w:ascii="Times New Roman" w:hAnsiTheme="minorEastAsia" w:cs="Times New Roman"/>
          <w:sz w:val="24"/>
          <w:szCs w:val="24"/>
        </w:rPr>
        <w:lastRenderedPageBreak/>
        <w:t>不符合正态分布的数据表示为中位数和四分位范围，对数转换后进行分析。在基线和结束时两组之间的人体测量参数的水平、血脂、葡萄糖、胰岛素、肝酶等指标的差异采用</w:t>
      </w:r>
      <w:r w:rsidRPr="003F67A8">
        <w:rPr>
          <w:rFonts w:ascii="Times New Roman" w:hAnsi="Times New Roman" w:cs="Times New Roman"/>
          <w:sz w:val="24"/>
          <w:szCs w:val="24"/>
        </w:rPr>
        <w:t>t</w:t>
      </w:r>
      <w:r w:rsidRPr="003F67A8">
        <w:rPr>
          <w:rFonts w:ascii="Times New Roman" w:hAnsiTheme="minorEastAsia" w:cs="Times New Roman"/>
          <w:sz w:val="24"/>
          <w:szCs w:val="24"/>
        </w:rPr>
        <w:t>检验。两组间构成比之间的差异采用卡方检验。参数的变化值等于结束时的值减去基线值。鱼油补充对人体测量参数、血脂、葡萄糖、胰岛素</w:t>
      </w:r>
      <w:r w:rsidRPr="003F67A8">
        <w:rPr>
          <w:rFonts w:ascii="Times New Roman" w:hAnsi="Times New Roman" w:cs="Times New Roman"/>
          <w:sz w:val="24"/>
          <w:szCs w:val="24"/>
        </w:rPr>
        <w:t>,</w:t>
      </w:r>
      <w:r w:rsidRPr="003F67A8">
        <w:rPr>
          <w:rFonts w:ascii="Times New Roman" w:hAnsiTheme="minorEastAsia" w:cs="Times New Roman"/>
          <w:sz w:val="24"/>
          <w:szCs w:val="24"/>
        </w:rPr>
        <w:t>肝酶等指标的效应采用协方差分析，以干预后的值作为因变量，并以基线值进行校正</w:t>
      </w:r>
      <w:r w:rsidRPr="003F67A8">
        <w:rPr>
          <w:rFonts w:ascii="Times New Roman" w:hAnsi="Times New Roman" w:cs="Times New Roman"/>
          <w:sz w:val="24"/>
          <w:szCs w:val="24"/>
        </w:rPr>
        <w:t>(</w:t>
      </w:r>
      <w:r w:rsidRPr="003F67A8">
        <w:rPr>
          <w:rFonts w:ascii="Times New Roman" w:hAnsiTheme="minorEastAsia" w:cs="Times New Roman"/>
          <w:sz w:val="24"/>
          <w:szCs w:val="24"/>
        </w:rPr>
        <w:t>模式</w:t>
      </w:r>
      <w:r w:rsidRPr="003F67A8">
        <w:rPr>
          <w:rFonts w:ascii="Times New Roman" w:hAnsi="Times New Roman" w:cs="Times New Roman"/>
          <w:sz w:val="24"/>
          <w:szCs w:val="24"/>
        </w:rPr>
        <w:t>1)</w:t>
      </w:r>
      <w:r w:rsidRPr="003F67A8">
        <w:rPr>
          <w:rFonts w:ascii="Times New Roman" w:hAnsiTheme="minorEastAsia" w:cs="Times New Roman"/>
          <w:sz w:val="24"/>
          <w:szCs w:val="24"/>
        </w:rPr>
        <w:t>，或基线值、年龄、性别和体重指数进行校正</w:t>
      </w:r>
      <w:r w:rsidRPr="003F67A8">
        <w:rPr>
          <w:rFonts w:ascii="Times New Roman" w:hAnsi="Times New Roman" w:cs="Times New Roman"/>
          <w:sz w:val="24"/>
          <w:szCs w:val="24"/>
        </w:rPr>
        <w:t>(</w:t>
      </w:r>
      <w:r w:rsidRPr="003F67A8">
        <w:rPr>
          <w:rFonts w:ascii="Times New Roman" w:hAnsiTheme="minorEastAsia" w:cs="Times New Roman"/>
          <w:sz w:val="24"/>
          <w:szCs w:val="24"/>
        </w:rPr>
        <w:t>模型</w:t>
      </w:r>
      <w:r w:rsidRPr="003F67A8">
        <w:rPr>
          <w:rFonts w:ascii="Times New Roman" w:hAnsi="Times New Roman" w:cs="Times New Roman"/>
          <w:sz w:val="24"/>
          <w:szCs w:val="24"/>
        </w:rPr>
        <w:t>2)</w:t>
      </w:r>
      <w:r w:rsidRPr="003F67A8">
        <w:rPr>
          <w:rFonts w:ascii="Times New Roman" w:hAnsiTheme="minorEastAsia" w:cs="Times New Roman"/>
          <w:sz w:val="24"/>
          <w:szCs w:val="24"/>
        </w:rPr>
        <w:t>。以双</w:t>
      </w:r>
      <w:r w:rsidR="003F67A8">
        <w:rPr>
          <w:rFonts w:ascii="Times New Roman" w:hAnsiTheme="minorEastAsia" w:cs="Times New Roman" w:hint="eastAsia"/>
          <w:sz w:val="24"/>
          <w:szCs w:val="24"/>
        </w:rPr>
        <w:t>侧</w:t>
      </w:r>
      <w:r w:rsidRPr="003F67A8">
        <w:rPr>
          <w:rFonts w:ascii="Times New Roman" w:hAnsi="Times New Roman" w:cs="Times New Roman"/>
          <w:sz w:val="24"/>
          <w:szCs w:val="24"/>
        </w:rPr>
        <w:t>p</w:t>
      </w:r>
      <w:r w:rsidRPr="003F67A8">
        <w:rPr>
          <w:rFonts w:ascii="Times New Roman" w:hAnsiTheme="minorEastAsia" w:cs="Times New Roman"/>
          <w:sz w:val="24"/>
          <w:szCs w:val="24"/>
        </w:rPr>
        <w:t>值</w:t>
      </w:r>
      <w:r w:rsidRPr="003F67A8">
        <w:rPr>
          <w:rFonts w:ascii="Times New Roman" w:hAnsi="Times New Roman" w:cs="Times New Roman"/>
          <w:sz w:val="24"/>
          <w:szCs w:val="24"/>
        </w:rPr>
        <w:t>&lt; 0.05</w:t>
      </w:r>
      <w:r w:rsidRPr="003F67A8">
        <w:rPr>
          <w:rFonts w:ascii="Times New Roman" w:hAnsiTheme="minorEastAsia" w:cs="Times New Roman"/>
          <w:sz w:val="24"/>
          <w:szCs w:val="24"/>
        </w:rPr>
        <w:t>认为具有统计学意义。</w:t>
      </w:r>
    </w:p>
    <w:p w:rsidR="00372730" w:rsidRPr="003F67A8" w:rsidRDefault="00372730" w:rsidP="006F43A0">
      <w:pPr>
        <w:spacing w:line="480" w:lineRule="auto"/>
        <w:rPr>
          <w:rFonts w:ascii="Times New Roman" w:hAnsi="Times New Roman" w:cs="Times New Roman"/>
          <w:sz w:val="24"/>
          <w:szCs w:val="24"/>
        </w:rPr>
      </w:pPr>
    </w:p>
    <w:p w:rsidR="00DE26BD" w:rsidRPr="003F67A8" w:rsidRDefault="009D66C2" w:rsidP="006F43A0">
      <w:pPr>
        <w:spacing w:line="480" w:lineRule="auto"/>
        <w:rPr>
          <w:rFonts w:ascii="Times New Roman" w:hAnsi="Times New Roman" w:cs="Times New Roman"/>
          <w:sz w:val="24"/>
          <w:szCs w:val="24"/>
        </w:rPr>
      </w:pPr>
      <w:r w:rsidRPr="003F67A8">
        <w:rPr>
          <w:rFonts w:ascii="Times New Roman" w:hAnsi="Times New Roman" w:cs="Times New Roman"/>
          <w:sz w:val="24"/>
          <w:szCs w:val="24"/>
        </w:rPr>
        <w:t>The English version</w:t>
      </w:r>
      <w:r w:rsidR="00FD5353" w:rsidRPr="003F67A8">
        <w:rPr>
          <w:rFonts w:ascii="Times New Roman" w:hAnsi="Times New Roman" w:cs="Times New Roman"/>
          <w:sz w:val="24"/>
          <w:szCs w:val="24"/>
        </w:rPr>
        <w:t xml:space="preserve"> (</w:t>
      </w:r>
      <w:r w:rsidR="00FD5353" w:rsidRPr="003F67A8">
        <w:rPr>
          <w:rFonts w:ascii="Times New Roman" w:hAnsiTheme="minorEastAsia" w:cs="Times New Roman"/>
          <w:sz w:val="24"/>
          <w:szCs w:val="24"/>
        </w:rPr>
        <w:t>英文版本</w:t>
      </w:r>
      <w:r w:rsidR="00FD5353" w:rsidRPr="003F67A8">
        <w:rPr>
          <w:rFonts w:ascii="Times New Roman" w:hAnsi="Times New Roman" w:cs="Times New Roman"/>
          <w:sz w:val="24"/>
          <w:szCs w:val="24"/>
        </w:rPr>
        <w:t>)</w:t>
      </w:r>
      <w:r w:rsidRPr="003F67A8">
        <w:rPr>
          <w:rFonts w:ascii="Times New Roman" w:hAnsi="Times New Roman" w:cs="Times New Roman"/>
          <w:sz w:val="24"/>
          <w:szCs w:val="24"/>
        </w:rPr>
        <w:t>:</w:t>
      </w:r>
    </w:p>
    <w:p w:rsidR="006763BF" w:rsidRPr="003F67A8" w:rsidRDefault="006763BF" w:rsidP="006F43A0">
      <w:pPr>
        <w:spacing w:line="480" w:lineRule="auto"/>
        <w:rPr>
          <w:rFonts w:ascii="Times New Roman" w:hAnsi="Times New Roman" w:cs="Times New Roman"/>
          <w:sz w:val="24"/>
          <w:szCs w:val="24"/>
        </w:rPr>
      </w:pPr>
      <w:r w:rsidRPr="003F67A8">
        <w:rPr>
          <w:rFonts w:ascii="Times New Roman" w:hAnsi="Times New Roman" w:cs="Times New Roman"/>
          <w:sz w:val="24"/>
          <w:szCs w:val="24"/>
        </w:rPr>
        <w:t>Title</w:t>
      </w:r>
      <w:r w:rsidRPr="003F67A8">
        <w:rPr>
          <w:rFonts w:ascii="Times New Roman" w:hAnsiTheme="minorEastAsia" w:cs="Times New Roman"/>
          <w:sz w:val="24"/>
          <w:szCs w:val="24"/>
        </w:rPr>
        <w:t>：</w:t>
      </w:r>
      <w:r w:rsidRPr="003F67A8">
        <w:rPr>
          <w:rFonts w:ascii="Times New Roman" w:hAnsi="Times New Roman" w:cs="Times New Roman"/>
          <w:sz w:val="24"/>
          <w:szCs w:val="24"/>
        </w:rPr>
        <w:t>The effects of fish oil on patient with non-alcoholic fatty liver disease</w:t>
      </w:r>
    </w:p>
    <w:p w:rsidR="00416AA0" w:rsidRPr="003F67A8" w:rsidRDefault="00416AA0" w:rsidP="006F43A0">
      <w:pPr>
        <w:pStyle w:val="a4"/>
        <w:numPr>
          <w:ilvl w:val="0"/>
          <w:numId w:val="6"/>
        </w:numPr>
        <w:spacing w:line="480" w:lineRule="auto"/>
        <w:ind w:firstLineChars="0"/>
        <w:rPr>
          <w:rFonts w:ascii="Times New Roman" w:hAnsi="Times New Roman" w:cs="Times New Roman"/>
          <w:sz w:val="24"/>
          <w:szCs w:val="24"/>
        </w:rPr>
      </w:pPr>
      <w:r w:rsidRPr="003F67A8">
        <w:rPr>
          <w:rFonts w:ascii="Times New Roman" w:hAnsi="Times New Roman" w:cs="Times New Roman"/>
          <w:sz w:val="24"/>
          <w:szCs w:val="24"/>
        </w:rPr>
        <w:t>The selection of populations</w:t>
      </w:r>
    </w:p>
    <w:p w:rsidR="00416AA0" w:rsidRPr="003F67A8" w:rsidRDefault="00416AA0"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Volunteers with non-alcoholic fatty liver disease (NAFLD) characteristics were recruited by distributing leaflet in streets in Chongqing, China. All participants were included into the trial after completely physical examination and medical history investigation in hospitals. All populations provided written informed consent.</w:t>
      </w:r>
    </w:p>
    <w:p w:rsidR="0076661A" w:rsidRPr="003F67A8" w:rsidRDefault="00416AA0"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The inclusion criteria were adults with NAFLD</w:t>
      </w:r>
      <w:r w:rsidR="0076661A" w:rsidRPr="003F67A8">
        <w:rPr>
          <w:rFonts w:ascii="Times New Roman" w:hAnsi="Times New Roman" w:cs="Times New Roman"/>
          <w:sz w:val="24"/>
          <w:szCs w:val="24"/>
        </w:rPr>
        <w:t xml:space="preserve"> while no use any medical for the treatment of NAFLD</w:t>
      </w:r>
      <w:r w:rsidRPr="003F67A8">
        <w:rPr>
          <w:rFonts w:ascii="Times New Roman" w:hAnsi="Times New Roman" w:cs="Times New Roman"/>
          <w:sz w:val="24"/>
          <w:szCs w:val="24"/>
        </w:rPr>
        <w:t xml:space="preserve">, with </w:t>
      </w:r>
      <w:r w:rsidR="0076661A" w:rsidRPr="003F67A8">
        <w:rPr>
          <w:rFonts w:ascii="Times New Roman" w:hAnsi="Times New Roman" w:cs="Times New Roman"/>
          <w:sz w:val="24"/>
          <w:szCs w:val="24"/>
        </w:rPr>
        <w:t xml:space="preserve">age between 20 and 60 years, </w:t>
      </w:r>
      <w:r w:rsidRPr="003F67A8">
        <w:rPr>
          <w:rFonts w:ascii="Times New Roman" w:hAnsi="Times New Roman" w:cs="Times New Roman"/>
          <w:sz w:val="24"/>
          <w:szCs w:val="24"/>
        </w:rPr>
        <w:t xml:space="preserve">steady BMI between 20 and 30 last 3 months, and without excessive alcohol consumption (more than </w:t>
      </w:r>
      <w:smartTag w:uri="urn:schemas-microsoft-com:office:smarttags" w:element="chmetcnv">
        <w:smartTagPr>
          <w:attr w:name="TCSC" w:val="0"/>
          <w:attr w:name="NumberType" w:val="1"/>
          <w:attr w:name="Negative" w:val="False"/>
          <w:attr w:name="HasSpace" w:val="True"/>
          <w:attr w:name="SourceValue" w:val="140"/>
          <w:attr w:name="UnitName" w:val="g"/>
        </w:smartTagPr>
        <w:r w:rsidRPr="003F67A8">
          <w:rPr>
            <w:rFonts w:ascii="Times New Roman" w:hAnsi="Times New Roman" w:cs="Times New Roman"/>
            <w:sz w:val="24"/>
            <w:szCs w:val="24"/>
          </w:rPr>
          <w:t>140 g</w:t>
        </w:r>
      </w:smartTag>
      <w:r w:rsidRPr="003F67A8">
        <w:rPr>
          <w:rFonts w:ascii="Times New Roman" w:hAnsi="Times New Roman" w:cs="Times New Roman"/>
          <w:sz w:val="24"/>
          <w:szCs w:val="24"/>
        </w:rPr>
        <w:t xml:space="preserve">/week for men and </w:t>
      </w:r>
      <w:smartTag w:uri="urn:schemas-microsoft-com:office:smarttags" w:element="chmetcnv">
        <w:smartTagPr>
          <w:attr w:name="TCSC" w:val="0"/>
          <w:attr w:name="NumberType" w:val="1"/>
          <w:attr w:name="Negative" w:val="False"/>
          <w:attr w:name="HasSpace" w:val="True"/>
          <w:attr w:name="SourceValue" w:val="70"/>
          <w:attr w:name="UnitName" w:val="g"/>
        </w:smartTagPr>
        <w:r w:rsidRPr="003F67A8">
          <w:rPr>
            <w:rFonts w:ascii="Times New Roman" w:hAnsi="Times New Roman" w:cs="Times New Roman"/>
            <w:sz w:val="24"/>
            <w:szCs w:val="24"/>
          </w:rPr>
          <w:t>70 g</w:t>
        </w:r>
      </w:smartTag>
      <w:r w:rsidRPr="003F67A8">
        <w:rPr>
          <w:rFonts w:ascii="Times New Roman" w:hAnsi="Times New Roman" w:cs="Times New Roman"/>
          <w:sz w:val="24"/>
          <w:szCs w:val="24"/>
        </w:rPr>
        <w:t xml:space="preserve">/week for women). A fatty liver was diagnosed by abdominal ultrasonography and identified by characteristic echo patterns including a diffuse increase in the echogenicity of the liver compared with that of the kidney consistent with conventional criteria. </w:t>
      </w:r>
    </w:p>
    <w:p w:rsidR="00416AA0" w:rsidRPr="003F67A8" w:rsidRDefault="00416AA0"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lastRenderedPageBreak/>
        <w:t>The exclusion criteria were a history of viral hepatitis, autoimmune hepatitis or other liver disease; taken any medicine or dietary supplementation that influence NAFLD, glucose and lipid metabolism last 6 months; suffered from gastrointestinal disease, severe chronic disease, kidney dysfunctions, or malignant tumors; suffered from any acute or chronic infectious diseases or injury, or receive any surgery</w:t>
      </w:r>
      <w:r w:rsidR="0076661A" w:rsidRPr="003F67A8">
        <w:rPr>
          <w:rFonts w:ascii="Times New Roman" w:hAnsi="Times New Roman" w:cs="Times New Roman"/>
          <w:sz w:val="24"/>
          <w:szCs w:val="24"/>
        </w:rPr>
        <w:t>;</w:t>
      </w:r>
      <w:r w:rsidRPr="003F67A8">
        <w:rPr>
          <w:rFonts w:ascii="Times New Roman" w:hAnsi="Times New Roman" w:cs="Times New Roman"/>
          <w:sz w:val="24"/>
          <w:szCs w:val="24"/>
        </w:rPr>
        <w:t xml:space="preserve"> patients with poor compliance.</w:t>
      </w:r>
    </w:p>
    <w:p w:rsidR="00BD7A61" w:rsidRPr="003F67A8" w:rsidRDefault="00BD7A61" w:rsidP="006F43A0">
      <w:pPr>
        <w:spacing w:line="480" w:lineRule="auto"/>
        <w:rPr>
          <w:rFonts w:ascii="Times New Roman" w:hAnsi="Times New Roman" w:cs="Times New Roman"/>
          <w:sz w:val="24"/>
          <w:szCs w:val="24"/>
        </w:rPr>
      </w:pPr>
      <w:r w:rsidRPr="003F67A8">
        <w:rPr>
          <w:rFonts w:ascii="Times New Roman" w:hAnsi="Times New Roman" w:cs="Times New Roman"/>
          <w:sz w:val="24"/>
          <w:szCs w:val="24"/>
        </w:rPr>
        <w:t>2  Study design</w:t>
      </w:r>
    </w:p>
    <w:p w:rsidR="00BD7A61" w:rsidRPr="003F67A8" w:rsidRDefault="00BD7A61"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 xml:space="preserve">This study was a randomized, double-blind, placebo-controlled trial. </w:t>
      </w:r>
    </w:p>
    <w:p w:rsidR="00BD7A61" w:rsidRPr="003F67A8" w:rsidRDefault="00BD7A61" w:rsidP="006F43A0">
      <w:pPr>
        <w:spacing w:line="480" w:lineRule="auto"/>
        <w:rPr>
          <w:rFonts w:ascii="Times New Roman" w:hAnsi="Times New Roman" w:cs="Times New Roman"/>
          <w:sz w:val="24"/>
          <w:szCs w:val="24"/>
        </w:rPr>
      </w:pPr>
      <w:r w:rsidRPr="003F67A8">
        <w:rPr>
          <w:rFonts w:ascii="Times New Roman" w:hAnsi="Times New Roman" w:cs="Times New Roman"/>
          <w:sz w:val="24"/>
          <w:szCs w:val="24"/>
        </w:rPr>
        <w:t xml:space="preserve">(1) the estimation of the sample size </w:t>
      </w:r>
    </w:p>
    <w:p w:rsidR="00BD7A61" w:rsidRPr="003F67A8" w:rsidRDefault="00BD7A61"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 xml:space="preserve">The present trial was designed to provide a greater than 80% statistical power to measure a 0.6 mmol/L of difference in reduction fasting serum triglycerides after 3 months treatment of fish oil, compared to corn oil intervention as the control. It was estimated that a sample size of </w:t>
      </w:r>
      <w:r w:rsidR="003F67A8">
        <w:rPr>
          <w:rFonts w:ascii="Times New Roman" w:hAnsi="Times New Roman" w:cs="Times New Roman" w:hint="eastAsia"/>
          <w:sz w:val="24"/>
          <w:szCs w:val="24"/>
        </w:rPr>
        <w:t>8</w:t>
      </w:r>
      <w:r w:rsidR="00693CC5" w:rsidRPr="003F67A8">
        <w:rPr>
          <w:rFonts w:ascii="Times New Roman" w:hAnsi="Times New Roman" w:cs="Times New Roman"/>
          <w:sz w:val="24"/>
          <w:szCs w:val="24"/>
        </w:rPr>
        <w:t>0</w:t>
      </w:r>
      <w:r w:rsidRPr="003F67A8">
        <w:rPr>
          <w:rFonts w:ascii="Times New Roman" w:hAnsi="Times New Roman" w:cs="Times New Roman"/>
          <w:sz w:val="24"/>
          <w:szCs w:val="24"/>
        </w:rPr>
        <w:t xml:space="preserve"> was sufficient to test the primary triglycerides hypothesis while allowing for a 20% dropout rate. </w:t>
      </w:r>
    </w:p>
    <w:p w:rsidR="00BD7A61" w:rsidRPr="003F67A8" w:rsidRDefault="00BD7A61"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 xml:space="preserve">(2) the </w:t>
      </w:r>
      <w:r w:rsidR="00693CC5" w:rsidRPr="003F67A8">
        <w:rPr>
          <w:rFonts w:ascii="Times New Roman" w:hAnsi="Times New Roman" w:cs="Times New Roman"/>
          <w:sz w:val="24"/>
          <w:szCs w:val="24"/>
        </w:rPr>
        <w:t>population randomization and trial</w:t>
      </w:r>
      <w:r w:rsidRPr="003F67A8">
        <w:rPr>
          <w:rFonts w:ascii="Times New Roman" w:hAnsi="Times New Roman" w:cs="Times New Roman"/>
          <w:sz w:val="24"/>
          <w:szCs w:val="24"/>
        </w:rPr>
        <w:t xml:space="preserve"> implementation</w:t>
      </w:r>
    </w:p>
    <w:p w:rsidR="00BD7A61" w:rsidRPr="003F67A8" w:rsidRDefault="00693CC5"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Randomization and blinding</w:t>
      </w:r>
      <w:r w:rsidR="00BD7A61" w:rsidRPr="003F67A8">
        <w:rPr>
          <w:rFonts w:ascii="Times New Roman" w:hAnsi="Times New Roman" w:cs="Times New Roman"/>
          <w:sz w:val="24"/>
          <w:szCs w:val="24"/>
        </w:rPr>
        <w:t xml:space="preserve">: </w:t>
      </w:r>
      <w:r w:rsidRPr="003F67A8">
        <w:rPr>
          <w:rFonts w:ascii="Times New Roman" w:hAnsi="Times New Roman" w:cs="Times New Roman"/>
          <w:sz w:val="24"/>
          <w:szCs w:val="24"/>
        </w:rPr>
        <w:t xml:space="preserve">eligible people were randomly assigned to the control or the fish oil group, and were asked to consume two corn oil or fish oil capsules twice per day for 3 months. The random sequence was generated by using </w:t>
      </w:r>
      <w:r w:rsidR="00BD7A61" w:rsidRPr="003F67A8">
        <w:rPr>
          <w:rFonts w:ascii="Times New Roman" w:hAnsi="Times New Roman" w:cs="Times New Roman"/>
          <w:sz w:val="24"/>
          <w:szCs w:val="24"/>
        </w:rPr>
        <w:t>the SPSS software.</w:t>
      </w:r>
      <w:r w:rsidRPr="003F67A8">
        <w:rPr>
          <w:rFonts w:ascii="Times New Roman" w:hAnsi="Times New Roman" w:cs="Times New Roman"/>
          <w:sz w:val="24"/>
          <w:szCs w:val="24"/>
        </w:rPr>
        <w:t xml:space="preserve"> The information of randomization was sealed until the end of the study. All participants and people who conducted the trial and assessed outcomes were blinded to the intervention information.</w:t>
      </w:r>
    </w:p>
    <w:p w:rsidR="00693CC5" w:rsidRPr="003F67A8" w:rsidRDefault="00693CC5"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I</w:t>
      </w:r>
      <w:r w:rsidR="00BD7A61" w:rsidRPr="003F67A8">
        <w:rPr>
          <w:rFonts w:ascii="Times New Roman" w:hAnsi="Times New Roman" w:cs="Times New Roman"/>
          <w:sz w:val="24"/>
          <w:szCs w:val="24"/>
        </w:rPr>
        <w:t xml:space="preserve">ntervention: </w:t>
      </w:r>
      <w:r w:rsidRPr="003F67A8">
        <w:rPr>
          <w:rFonts w:ascii="Times New Roman" w:hAnsi="Times New Roman" w:cs="Times New Roman"/>
          <w:sz w:val="24"/>
          <w:szCs w:val="24"/>
        </w:rPr>
        <w:t>A</w:t>
      </w:r>
      <w:r w:rsidR="00BD7A61" w:rsidRPr="003F67A8">
        <w:rPr>
          <w:rFonts w:ascii="Times New Roman" w:hAnsi="Times New Roman" w:cs="Times New Roman"/>
          <w:sz w:val="24"/>
          <w:szCs w:val="24"/>
        </w:rPr>
        <w:t xml:space="preserve">ll subjects </w:t>
      </w:r>
      <w:r w:rsidRPr="003F67A8">
        <w:rPr>
          <w:rFonts w:ascii="Times New Roman" w:hAnsi="Times New Roman" w:cs="Times New Roman"/>
          <w:sz w:val="24"/>
          <w:szCs w:val="24"/>
        </w:rPr>
        <w:t xml:space="preserve">were given </w:t>
      </w:r>
      <w:r w:rsidR="00BD7A61" w:rsidRPr="003F67A8">
        <w:rPr>
          <w:rFonts w:ascii="Times New Roman" w:hAnsi="Times New Roman" w:cs="Times New Roman"/>
          <w:sz w:val="24"/>
          <w:szCs w:val="24"/>
        </w:rPr>
        <w:t>the nutritional education and guidance</w:t>
      </w:r>
      <w:r w:rsidRPr="003F67A8">
        <w:rPr>
          <w:rFonts w:ascii="Times New Roman" w:hAnsi="Times New Roman" w:cs="Times New Roman"/>
          <w:sz w:val="24"/>
          <w:szCs w:val="24"/>
        </w:rPr>
        <w:t xml:space="preserve">. </w:t>
      </w:r>
      <w:r w:rsidRPr="003F67A8">
        <w:rPr>
          <w:rFonts w:ascii="Times New Roman" w:hAnsi="Times New Roman" w:cs="Times New Roman"/>
          <w:sz w:val="24"/>
          <w:szCs w:val="24"/>
        </w:rPr>
        <w:lastRenderedPageBreak/>
        <w:t>Each fish oil capsule contained 182 mg of EPA and 129 mg of DHA, the whole weight was 1000 mg in addition with vitamin E, gelatin, glycerin and water. The corn oil capsules as the control contained no EPA or DHA and other contents similar to the fish oil capsules. Both oil capsules were prepared and supplied by By-Health Company Limited, Guangdong, China. All capsules were yellow soft capsules and visually identical and packaged in a sealed gray bottles. All participants consumed two corn oil or fish oil capsules twice per day for 3 months. Thus the total intervention doses per day were 4 g fish oil capsules contained 728 mg of EPA and 516 mg of DHA for participant in the fish oil group, or 4 g corn oil capsules for those in the corn oil group.</w:t>
      </w:r>
    </w:p>
    <w:p w:rsidR="00BD7A61" w:rsidRPr="003F67A8" w:rsidRDefault="00693CC5" w:rsidP="006F43A0">
      <w:pPr>
        <w:spacing w:line="480" w:lineRule="auto"/>
        <w:ind w:firstLineChars="200" w:firstLine="480"/>
        <w:rPr>
          <w:rFonts w:ascii="Times New Roman" w:hAnsi="Times New Roman" w:cs="Times New Roman"/>
          <w:sz w:val="24"/>
          <w:szCs w:val="24"/>
        </w:rPr>
      </w:pPr>
      <w:r w:rsidRPr="003F67A8">
        <w:rPr>
          <w:rFonts w:ascii="Times New Roman" w:hAnsi="Times New Roman" w:cs="Times New Roman"/>
          <w:sz w:val="24"/>
          <w:szCs w:val="24"/>
        </w:rPr>
        <w:t>F</w:t>
      </w:r>
      <w:r w:rsidR="00BD7A61" w:rsidRPr="003F67A8">
        <w:rPr>
          <w:rFonts w:ascii="Times New Roman" w:hAnsi="Times New Roman" w:cs="Times New Roman"/>
          <w:sz w:val="24"/>
          <w:szCs w:val="24"/>
        </w:rPr>
        <w:t>ollow-up:</w:t>
      </w:r>
      <w:r w:rsidR="00313696" w:rsidRPr="003F67A8">
        <w:rPr>
          <w:rFonts w:ascii="Times New Roman" w:hAnsi="Times New Roman" w:cs="Times New Roman"/>
          <w:sz w:val="24"/>
          <w:szCs w:val="24"/>
        </w:rPr>
        <w:t xml:space="preserve"> </w:t>
      </w:r>
      <w:r w:rsidR="00BD7A61" w:rsidRPr="003F67A8">
        <w:rPr>
          <w:rFonts w:ascii="Times New Roman" w:hAnsi="Times New Roman" w:cs="Times New Roman"/>
          <w:sz w:val="24"/>
          <w:szCs w:val="24"/>
        </w:rPr>
        <w:t>All participants were instructed to maintain their habitual dietary style and physical activities. Each participant attended hospital at 0 and 3 months and fasting blood samples were collected for parameters such as fatty acid, lipids and liver enzymes concentrations detecting. In addition, the height, weight, waist circumference and blood pressures of peoples were measured meanwhile.</w:t>
      </w:r>
    </w:p>
    <w:p w:rsidR="00BC530B" w:rsidRPr="003F67A8" w:rsidRDefault="00BC530B" w:rsidP="006F43A0">
      <w:pPr>
        <w:pStyle w:val="a4"/>
        <w:numPr>
          <w:ilvl w:val="0"/>
          <w:numId w:val="7"/>
        </w:numPr>
        <w:spacing w:line="480" w:lineRule="auto"/>
        <w:ind w:firstLineChars="0"/>
        <w:rPr>
          <w:rFonts w:ascii="Times New Roman" w:hAnsi="Times New Roman" w:cs="Times New Roman"/>
          <w:sz w:val="24"/>
          <w:szCs w:val="24"/>
        </w:rPr>
      </w:pPr>
      <w:r w:rsidRPr="003F67A8">
        <w:rPr>
          <w:rFonts w:ascii="Times New Roman" w:hAnsi="Times New Roman" w:cs="Times New Roman"/>
          <w:sz w:val="24"/>
          <w:szCs w:val="24"/>
        </w:rPr>
        <w:t xml:space="preserve">The </w:t>
      </w:r>
      <w:r w:rsidR="00CE064D" w:rsidRPr="003F67A8">
        <w:rPr>
          <w:rFonts w:ascii="Times New Roman" w:hAnsi="Times New Roman" w:cs="Times New Roman"/>
          <w:sz w:val="24"/>
          <w:szCs w:val="24"/>
        </w:rPr>
        <w:t xml:space="preserve">information collection </w:t>
      </w:r>
      <w:r w:rsidRPr="003F67A8">
        <w:rPr>
          <w:rFonts w:ascii="Times New Roman" w:hAnsi="Times New Roman" w:cs="Times New Roman"/>
          <w:sz w:val="24"/>
          <w:szCs w:val="24"/>
        </w:rPr>
        <w:t>at baseline</w:t>
      </w:r>
    </w:p>
    <w:p w:rsidR="00BC530B" w:rsidRPr="003F67A8" w:rsidRDefault="00BC530B" w:rsidP="006F43A0">
      <w:pPr>
        <w:spacing w:line="480" w:lineRule="auto"/>
        <w:ind w:firstLineChars="150" w:firstLine="360"/>
        <w:rPr>
          <w:rFonts w:ascii="Times New Roman" w:hAnsi="Times New Roman" w:cs="Times New Roman"/>
          <w:sz w:val="24"/>
          <w:szCs w:val="24"/>
        </w:rPr>
      </w:pPr>
      <w:r w:rsidRPr="003F67A8">
        <w:rPr>
          <w:rFonts w:ascii="Times New Roman" w:hAnsi="Times New Roman" w:cs="Times New Roman"/>
          <w:sz w:val="24"/>
          <w:szCs w:val="24"/>
        </w:rPr>
        <w:t xml:space="preserve">The </w:t>
      </w:r>
      <w:r w:rsidR="00CE064D" w:rsidRPr="003F67A8">
        <w:rPr>
          <w:rFonts w:ascii="Times New Roman" w:hAnsi="Times New Roman" w:cs="Times New Roman"/>
          <w:sz w:val="24"/>
          <w:szCs w:val="24"/>
        </w:rPr>
        <w:t xml:space="preserve">information of all populations </w:t>
      </w:r>
      <w:r w:rsidRPr="003F67A8">
        <w:rPr>
          <w:rFonts w:ascii="Times New Roman" w:hAnsi="Times New Roman" w:cs="Times New Roman"/>
          <w:sz w:val="24"/>
          <w:szCs w:val="24"/>
        </w:rPr>
        <w:t>at baseline</w:t>
      </w:r>
      <w:r w:rsidR="00CE064D" w:rsidRPr="003F67A8">
        <w:rPr>
          <w:rFonts w:ascii="Times New Roman" w:hAnsi="Times New Roman" w:cs="Times New Roman"/>
          <w:sz w:val="24"/>
          <w:szCs w:val="24"/>
        </w:rPr>
        <w:t xml:space="preserve"> was collected using formed questionnaire by face to face investigation</w:t>
      </w:r>
      <w:r w:rsidRPr="003F67A8">
        <w:rPr>
          <w:rFonts w:ascii="Times New Roman" w:hAnsi="Times New Roman" w:cs="Times New Roman"/>
          <w:sz w:val="24"/>
          <w:szCs w:val="24"/>
        </w:rPr>
        <w:t xml:space="preserve"> by the trained investigators</w:t>
      </w:r>
      <w:r w:rsidR="00CE064D" w:rsidRPr="003F67A8">
        <w:rPr>
          <w:rFonts w:ascii="Times New Roman" w:hAnsi="Times New Roman" w:cs="Times New Roman"/>
          <w:sz w:val="24"/>
          <w:szCs w:val="24"/>
        </w:rPr>
        <w:t>. The information collected including: basically</w:t>
      </w:r>
      <w:r w:rsidRPr="003F67A8">
        <w:rPr>
          <w:rFonts w:ascii="Times New Roman" w:hAnsi="Times New Roman" w:cs="Times New Roman"/>
          <w:sz w:val="24"/>
          <w:szCs w:val="24"/>
        </w:rPr>
        <w:t xml:space="preserve"> information</w:t>
      </w:r>
      <w:r w:rsidR="00CE064D" w:rsidRPr="003F67A8">
        <w:rPr>
          <w:rFonts w:ascii="Times New Roman" w:hAnsi="Times New Roman" w:cs="Times New Roman"/>
          <w:sz w:val="24"/>
          <w:szCs w:val="24"/>
        </w:rPr>
        <w:t xml:space="preserve"> such as</w:t>
      </w:r>
      <w:r w:rsidRPr="003F67A8">
        <w:rPr>
          <w:rFonts w:ascii="Times New Roman" w:hAnsi="Times New Roman" w:cs="Times New Roman"/>
          <w:sz w:val="24"/>
          <w:szCs w:val="24"/>
        </w:rPr>
        <w:t xml:space="preserve"> name, age</w:t>
      </w:r>
      <w:r w:rsidR="00CE064D" w:rsidRPr="003F67A8">
        <w:rPr>
          <w:rFonts w:ascii="Times New Roman" w:hAnsi="Times New Roman" w:cs="Times New Roman"/>
          <w:sz w:val="24"/>
          <w:szCs w:val="24"/>
        </w:rPr>
        <w:t xml:space="preserve"> and</w:t>
      </w:r>
      <w:r w:rsidRPr="003F67A8">
        <w:rPr>
          <w:rFonts w:ascii="Times New Roman" w:hAnsi="Times New Roman" w:cs="Times New Roman"/>
          <w:sz w:val="24"/>
          <w:szCs w:val="24"/>
        </w:rPr>
        <w:t xml:space="preserve"> gender</w:t>
      </w:r>
      <w:r w:rsidR="00CE064D" w:rsidRPr="003F67A8">
        <w:rPr>
          <w:rFonts w:ascii="Times New Roman" w:hAnsi="Times New Roman" w:cs="Times New Roman"/>
          <w:sz w:val="24"/>
          <w:szCs w:val="24"/>
        </w:rPr>
        <w:t>;</w:t>
      </w:r>
      <w:r w:rsidRPr="003F67A8">
        <w:rPr>
          <w:rFonts w:ascii="Times New Roman" w:hAnsi="Times New Roman" w:cs="Times New Roman"/>
          <w:sz w:val="24"/>
          <w:szCs w:val="24"/>
        </w:rPr>
        <w:t xml:space="preserve"> demographic sociology</w:t>
      </w:r>
      <w:r w:rsidR="00CE064D" w:rsidRPr="003F67A8">
        <w:rPr>
          <w:rFonts w:ascii="Times New Roman" w:hAnsi="Times New Roman" w:cs="Times New Roman"/>
          <w:sz w:val="24"/>
          <w:szCs w:val="24"/>
        </w:rPr>
        <w:t xml:space="preserve"> characteristics</w:t>
      </w:r>
      <w:r w:rsidRPr="003F67A8">
        <w:rPr>
          <w:rFonts w:ascii="Times New Roman" w:hAnsi="Times New Roman" w:cs="Times New Roman"/>
          <w:sz w:val="24"/>
          <w:szCs w:val="24"/>
        </w:rPr>
        <w:t>; life</w:t>
      </w:r>
      <w:r w:rsidR="00CE064D" w:rsidRPr="003F67A8">
        <w:rPr>
          <w:rFonts w:ascii="Times New Roman" w:hAnsi="Times New Roman" w:cs="Times New Roman"/>
          <w:sz w:val="24"/>
          <w:szCs w:val="24"/>
        </w:rPr>
        <w:t xml:space="preserve"> styles such as drinking, smoking and</w:t>
      </w:r>
      <w:r w:rsidRPr="003F67A8">
        <w:rPr>
          <w:rFonts w:ascii="Times New Roman" w:hAnsi="Times New Roman" w:cs="Times New Roman"/>
          <w:sz w:val="24"/>
          <w:szCs w:val="24"/>
        </w:rPr>
        <w:t xml:space="preserve"> exercise; diseases history and family history; drugs and nutritional supplements</w:t>
      </w:r>
      <w:r w:rsidR="00CE064D" w:rsidRPr="003F67A8">
        <w:rPr>
          <w:rFonts w:ascii="Times New Roman" w:hAnsi="Times New Roman" w:cs="Times New Roman"/>
          <w:sz w:val="24"/>
          <w:szCs w:val="24"/>
        </w:rPr>
        <w:t xml:space="preserve"> use</w:t>
      </w:r>
      <w:r w:rsidRPr="003F67A8">
        <w:rPr>
          <w:rFonts w:ascii="Times New Roman" w:hAnsi="Times New Roman" w:cs="Times New Roman"/>
          <w:sz w:val="24"/>
          <w:szCs w:val="24"/>
        </w:rPr>
        <w:t>.</w:t>
      </w:r>
    </w:p>
    <w:p w:rsidR="00C97ED3" w:rsidRPr="003F67A8" w:rsidRDefault="00C97ED3" w:rsidP="006F43A0">
      <w:pPr>
        <w:spacing w:line="480" w:lineRule="auto"/>
        <w:rPr>
          <w:rFonts w:ascii="Times New Roman" w:hAnsi="Times New Roman" w:cs="Times New Roman"/>
          <w:sz w:val="24"/>
          <w:szCs w:val="24"/>
        </w:rPr>
      </w:pPr>
      <w:r w:rsidRPr="003F67A8">
        <w:rPr>
          <w:rFonts w:ascii="Times New Roman" w:hAnsi="Times New Roman" w:cs="Times New Roman"/>
          <w:sz w:val="24"/>
          <w:szCs w:val="24"/>
        </w:rPr>
        <w:t>4  Dietary investigation and dietary control</w:t>
      </w:r>
    </w:p>
    <w:p w:rsidR="00C97ED3" w:rsidRPr="003F67A8" w:rsidRDefault="00C97ED3" w:rsidP="006F43A0">
      <w:pPr>
        <w:spacing w:line="480" w:lineRule="auto"/>
        <w:ind w:firstLineChars="150" w:firstLine="360"/>
        <w:rPr>
          <w:rFonts w:ascii="Times New Roman" w:hAnsi="Times New Roman" w:cs="Times New Roman"/>
          <w:sz w:val="24"/>
          <w:szCs w:val="24"/>
        </w:rPr>
      </w:pPr>
      <w:r w:rsidRPr="003F67A8">
        <w:rPr>
          <w:rFonts w:ascii="Times New Roman" w:hAnsi="Times New Roman" w:cs="Times New Roman"/>
          <w:sz w:val="24"/>
          <w:szCs w:val="24"/>
        </w:rPr>
        <w:lastRenderedPageBreak/>
        <w:t>The semi-quantitative food frequency questionnaire and dietary food records were used for estimating the dietary energy and nutrients intakes of all population. During the whole intervention, each subject was asked to adhere to our protocol and do not administrate any forms of plant polyphenols nutritional supplements and health food.</w:t>
      </w:r>
    </w:p>
    <w:p w:rsidR="00C97ED3" w:rsidRPr="003F67A8" w:rsidRDefault="00C97ED3" w:rsidP="006F43A0">
      <w:pPr>
        <w:spacing w:line="480" w:lineRule="auto"/>
        <w:rPr>
          <w:rFonts w:ascii="Times New Roman" w:hAnsi="Times New Roman" w:cs="Times New Roman"/>
          <w:sz w:val="24"/>
          <w:szCs w:val="24"/>
        </w:rPr>
      </w:pPr>
      <w:r w:rsidRPr="003F67A8">
        <w:rPr>
          <w:rFonts w:ascii="Times New Roman" w:hAnsi="Times New Roman" w:cs="Times New Roman"/>
          <w:sz w:val="24"/>
          <w:szCs w:val="24"/>
        </w:rPr>
        <w:t xml:space="preserve">5  </w:t>
      </w:r>
      <w:r w:rsidR="008B0BB2" w:rsidRPr="003F67A8">
        <w:rPr>
          <w:rFonts w:ascii="Times New Roman" w:hAnsi="Times New Roman" w:cs="Times New Roman"/>
          <w:sz w:val="24"/>
          <w:szCs w:val="24"/>
        </w:rPr>
        <w:t>Measurement of clinical parameters</w:t>
      </w:r>
    </w:p>
    <w:p w:rsidR="00C97ED3" w:rsidRPr="003F67A8" w:rsidRDefault="00C97ED3" w:rsidP="006F43A0">
      <w:pPr>
        <w:spacing w:line="480" w:lineRule="auto"/>
        <w:ind w:firstLineChars="150" w:firstLine="360"/>
        <w:rPr>
          <w:rFonts w:ascii="Times New Roman" w:hAnsi="Times New Roman" w:cs="Times New Roman"/>
          <w:sz w:val="24"/>
          <w:szCs w:val="24"/>
        </w:rPr>
      </w:pPr>
      <w:r w:rsidRPr="003F67A8">
        <w:rPr>
          <w:rFonts w:ascii="Times New Roman" w:hAnsi="Times New Roman" w:cs="Times New Roman"/>
          <w:sz w:val="24"/>
          <w:szCs w:val="24"/>
        </w:rPr>
        <w:t xml:space="preserve">(1) </w:t>
      </w:r>
      <w:r w:rsidR="008B0BB2" w:rsidRPr="003F67A8">
        <w:rPr>
          <w:rFonts w:ascii="Times New Roman" w:hAnsi="Times New Roman" w:cs="Times New Roman"/>
          <w:sz w:val="24"/>
          <w:szCs w:val="24"/>
        </w:rPr>
        <w:t>g</w:t>
      </w:r>
      <w:r w:rsidRPr="003F67A8">
        <w:rPr>
          <w:rFonts w:ascii="Times New Roman" w:hAnsi="Times New Roman" w:cs="Times New Roman"/>
          <w:sz w:val="24"/>
          <w:szCs w:val="24"/>
        </w:rPr>
        <w:t>eneral medical index detection: measure the height, weight, waist circumference, hip circumference, upper arm circumference and skinfold and blood pressure, and calculate the body mass index (BMI) and waist-to-hip ratio (WHR).</w:t>
      </w:r>
    </w:p>
    <w:p w:rsidR="00C97ED3" w:rsidRPr="003F67A8" w:rsidRDefault="00C97ED3" w:rsidP="006F43A0">
      <w:pPr>
        <w:spacing w:line="480" w:lineRule="auto"/>
        <w:ind w:firstLineChars="150" w:firstLine="360"/>
        <w:rPr>
          <w:rFonts w:ascii="Times New Roman" w:hAnsi="Times New Roman" w:cs="Times New Roman"/>
          <w:sz w:val="24"/>
          <w:szCs w:val="24"/>
        </w:rPr>
      </w:pPr>
      <w:r w:rsidRPr="003F67A8">
        <w:rPr>
          <w:rFonts w:ascii="Times New Roman" w:hAnsi="Times New Roman" w:cs="Times New Roman"/>
          <w:sz w:val="24"/>
          <w:szCs w:val="24"/>
        </w:rPr>
        <w:t xml:space="preserve">(2) </w:t>
      </w:r>
      <w:r w:rsidR="008B0BB2" w:rsidRPr="003F67A8">
        <w:rPr>
          <w:rFonts w:ascii="Times New Roman" w:hAnsi="Times New Roman" w:cs="Times New Roman"/>
          <w:sz w:val="24"/>
          <w:szCs w:val="24"/>
        </w:rPr>
        <w:t xml:space="preserve"> </w:t>
      </w:r>
      <w:r w:rsidRPr="003F67A8">
        <w:rPr>
          <w:rFonts w:ascii="Times New Roman" w:hAnsi="Times New Roman" w:cs="Times New Roman"/>
          <w:sz w:val="24"/>
          <w:szCs w:val="24"/>
        </w:rPr>
        <w:t xml:space="preserve">hepatic, kidney function test: </w:t>
      </w:r>
      <w:r w:rsidR="008B0BB2" w:rsidRPr="003F67A8">
        <w:rPr>
          <w:rFonts w:ascii="Times New Roman" w:hAnsi="Times New Roman" w:cs="Times New Roman"/>
          <w:sz w:val="24"/>
          <w:szCs w:val="24"/>
        </w:rPr>
        <w:t xml:space="preserve">including </w:t>
      </w:r>
      <w:r w:rsidRPr="003F67A8">
        <w:rPr>
          <w:rFonts w:ascii="Times New Roman" w:hAnsi="Times New Roman" w:cs="Times New Roman"/>
          <w:sz w:val="24"/>
          <w:szCs w:val="24"/>
        </w:rPr>
        <w:t>ALT and AST.</w:t>
      </w:r>
    </w:p>
    <w:p w:rsidR="00C97ED3" w:rsidRPr="003F67A8" w:rsidRDefault="00C97ED3" w:rsidP="006F43A0">
      <w:pPr>
        <w:spacing w:line="480" w:lineRule="auto"/>
        <w:ind w:firstLineChars="150" w:firstLine="360"/>
        <w:rPr>
          <w:rFonts w:ascii="Times New Roman" w:hAnsi="Times New Roman" w:cs="Times New Roman"/>
          <w:sz w:val="24"/>
          <w:szCs w:val="24"/>
        </w:rPr>
      </w:pPr>
      <w:r w:rsidRPr="003F67A8">
        <w:rPr>
          <w:rFonts w:ascii="Times New Roman" w:hAnsi="Times New Roman" w:cs="Times New Roman"/>
          <w:sz w:val="24"/>
          <w:szCs w:val="24"/>
        </w:rPr>
        <w:t xml:space="preserve">(3) </w:t>
      </w:r>
      <w:r w:rsidR="008B0BB2" w:rsidRPr="003F67A8">
        <w:rPr>
          <w:rFonts w:ascii="Times New Roman" w:hAnsi="Times New Roman" w:cs="Times New Roman"/>
          <w:sz w:val="24"/>
          <w:szCs w:val="24"/>
        </w:rPr>
        <w:t xml:space="preserve"> </w:t>
      </w:r>
      <w:r w:rsidRPr="003F67A8">
        <w:rPr>
          <w:rFonts w:ascii="Times New Roman" w:hAnsi="Times New Roman" w:cs="Times New Roman"/>
          <w:sz w:val="24"/>
          <w:szCs w:val="24"/>
        </w:rPr>
        <w:t xml:space="preserve">the influence of the fish oil intervention </w:t>
      </w:r>
      <w:r w:rsidR="008B0BB2" w:rsidRPr="003F67A8">
        <w:rPr>
          <w:rFonts w:ascii="Times New Roman" w:hAnsi="Times New Roman" w:cs="Times New Roman"/>
          <w:sz w:val="24"/>
          <w:szCs w:val="24"/>
        </w:rPr>
        <w:t xml:space="preserve">on the </w:t>
      </w:r>
      <w:r w:rsidRPr="003F67A8">
        <w:rPr>
          <w:rFonts w:ascii="Times New Roman" w:hAnsi="Times New Roman" w:cs="Times New Roman"/>
          <w:sz w:val="24"/>
          <w:szCs w:val="24"/>
        </w:rPr>
        <w:t>glucolipid metabolism in patients with NAFLD</w:t>
      </w:r>
      <w:r w:rsidR="008B0BB2" w:rsidRPr="003F67A8">
        <w:rPr>
          <w:rFonts w:ascii="Times New Roman" w:hAnsi="Times New Roman" w:cs="Times New Roman"/>
          <w:sz w:val="24"/>
          <w:szCs w:val="24"/>
        </w:rPr>
        <w:t xml:space="preserve">, </w:t>
      </w:r>
      <w:r w:rsidRPr="003F67A8">
        <w:rPr>
          <w:rFonts w:ascii="Times New Roman" w:hAnsi="Times New Roman" w:cs="Times New Roman"/>
          <w:sz w:val="24"/>
          <w:szCs w:val="24"/>
        </w:rPr>
        <w:t xml:space="preserve">including fasting serum TC, TG, LDL-C, </w:t>
      </w:r>
      <w:r w:rsidR="008B0BB2" w:rsidRPr="003F67A8">
        <w:rPr>
          <w:rFonts w:ascii="Times New Roman" w:hAnsi="Times New Roman" w:cs="Times New Roman"/>
          <w:sz w:val="24"/>
          <w:szCs w:val="24"/>
        </w:rPr>
        <w:t>HDL</w:t>
      </w:r>
      <w:r w:rsidRPr="003F67A8">
        <w:rPr>
          <w:rFonts w:ascii="Times New Roman" w:hAnsi="Times New Roman" w:cs="Times New Roman"/>
          <w:sz w:val="24"/>
          <w:szCs w:val="24"/>
        </w:rPr>
        <w:t>-</w:t>
      </w:r>
      <w:r w:rsidR="008B0BB2" w:rsidRPr="003F67A8">
        <w:rPr>
          <w:rFonts w:ascii="Times New Roman" w:hAnsi="Times New Roman" w:cs="Times New Roman"/>
          <w:sz w:val="24"/>
          <w:szCs w:val="24"/>
        </w:rPr>
        <w:t>C</w:t>
      </w:r>
      <w:r w:rsidRPr="003F67A8">
        <w:rPr>
          <w:rFonts w:ascii="Times New Roman" w:hAnsi="Times New Roman" w:cs="Times New Roman"/>
          <w:sz w:val="24"/>
          <w:szCs w:val="24"/>
        </w:rPr>
        <w:t>, apoAI, apoB, free fatty acids, glucose, insulin levels and HOMA IR.</w:t>
      </w:r>
    </w:p>
    <w:p w:rsidR="00C97ED3" w:rsidRPr="003F67A8" w:rsidRDefault="006F43A0" w:rsidP="006F43A0">
      <w:pPr>
        <w:spacing w:line="480" w:lineRule="auto"/>
        <w:ind w:firstLineChars="150" w:firstLine="360"/>
        <w:rPr>
          <w:rFonts w:ascii="Times New Roman" w:hAnsi="Times New Roman" w:cs="Times New Roman"/>
          <w:sz w:val="24"/>
          <w:szCs w:val="24"/>
        </w:rPr>
      </w:pPr>
      <w:r w:rsidRPr="003F67A8">
        <w:rPr>
          <w:rFonts w:ascii="Times New Roman" w:hAnsi="Times New Roman" w:cs="Times New Roman"/>
          <w:sz w:val="24"/>
          <w:szCs w:val="24"/>
        </w:rPr>
        <w:t>6  Statistical analyses</w:t>
      </w:r>
    </w:p>
    <w:p w:rsidR="006F43A0" w:rsidRPr="003F67A8" w:rsidRDefault="006F43A0" w:rsidP="006F43A0">
      <w:pPr>
        <w:spacing w:line="480" w:lineRule="auto"/>
        <w:ind w:firstLineChars="150" w:firstLine="360"/>
        <w:rPr>
          <w:rFonts w:ascii="Times New Roman" w:hAnsi="Times New Roman" w:cs="Times New Roman"/>
          <w:sz w:val="24"/>
          <w:szCs w:val="24"/>
        </w:rPr>
      </w:pPr>
      <w:r w:rsidRPr="003F67A8">
        <w:rPr>
          <w:rFonts w:ascii="Times New Roman" w:hAnsi="Times New Roman" w:cs="Times New Roman"/>
          <w:sz w:val="24"/>
          <w:szCs w:val="24"/>
        </w:rPr>
        <w:t>All statistical analyses were performed using SPSS Version 13.0 (SPSS Inc., Chicago, IL). Normally distributed data were expressed as means ± SDs. Data that</w:t>
      </w:r>
      <w:r w:rsidRPr="003F67A8">
        <w:rPr>
          <w:rFonts w:ascii="Times New Roman" w:hAnsi="Times New Roman" w:cs="Times New Roman"/>
          <w:sz w:val="24"/>
          <w:szCs w:val="24"/>
        </w:rPr>
        <w:br/>
        <w:t xml:space="preserve">were not normally distributed were expressed as median with interquartile range, and analyzed after logarithmically transformed. Student’s unpaired t test was used for comparison the levels of anthropometric parameters, serum lipids, glucose, insulin, liver enzymes, liver parameters, cytokines at baseline and at the end between the two groups. The composition of rate at baseline was calculated by Chi-square tests. The change of parameters equaled to the differences of the end values from the baseline values. The effects of fish oil supplement on anthropometric parameters, serum lipids, </w:t>
      </w:r>
      <w:r w:rsidRPr="003F67A8">
        <w:rPr>
          <w:rFonts w:ascii="Times New Roman" w:hAnsi="Times New Roman" w:cs="Times New Roman"/>
          <w:sz w:val="24"/>
          <w:szCs w:val="24"/>
        </w:rPr>
        <w:lastRenderedPageBreak/>
        <w:t>glucose, insulin, liver enzymes, cytokines in the participants in contrast to corn oil supplement were analyzed using ANCOVA with the change as the dependent variables, and adjusted with the correlating values at baseline (Model 1), or adjusted with the correlating values at baseline, age, gender and BMI (Model 2). Two-sided p values &lt; 0.05 were considered as significant.</w:t>
      </w:r>
    </w:p>
    <w:p w:rsidR="00D91A91" w:rsidRPr="003F67A8" w:rsidRDefault="00D91A91" w:rsidP="006F43A0">
      <w:pPr>
        <w:spacing w:line="480" w:lineRule="auto"/>
        <w:rPr>
          <w:rFonts w:ascii="Times New Roman" w:hAnsi="Times New Roman" w:cs="Times New Roman"/>
          <w:sz w:val="24"/>
          <w:szCs w:val="24"/>
        </w:rPr>
      </w:pPr>
    </w:p>
    <w:sectPr w:rsidR="00D91A91" w:rsidRPr="003F67A8" w:rsidSect="004C2D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B3" w:rsidRDefault="00240BB3" w:rsidP="00E10C9A">
      <w:r>
        <w:separator/>
      </w:r>
    </w:p>
  </w:endnote>
  <w:endnote w:type="continuationSeparator" w:id="1">
    <w:p w:rsidR="00240BB3" w:rsidRDefault="00240BB3" w:rsidP="00E10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B3" w:rsidRDefault="00240BB3" w:rsidP="00E10C9A">
      <w:r>
        <w:separator/>
      </w:r>
    </w:p>
  </w:footnote>
  <w:footnote w:type="continuationSeparator" w:id="1">
    <w:p w:rsidR="00240BB3" w:rsidRDefault="00240BB3" w:rsidP="00E10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1EB0"/>
    <w:multiLevelType w:val="hybridMultilevel"/>
    <w:tmpl w:val="61461078"/>
    <w:lvl w:ilvl="0" w:tplc="7B92F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007FC8"/>
    <w:multiLevelType w:val="hybridMultilevel"/>
    <w:tmpl w:val="AC666E9E"/>
    <w:lvl w:ilvl="0" w:tplc="27ECE2F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604720"/>
    <w:multiLevelType w:val="hybridMultilevel"/>
    <w:tmpl w:val="9492234C"/>
    <w:lvl w:ilvl="0" w:tplc="E6E6C0B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D03FFB"/>
    <w:multiLevelType w:val="hybridMultilevel"/>
    <w:tmpl w:val="952431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6921B8"/>
    <w:multiLevelType w:val="hybridMultilevel"/>
    <w:tmpl w:val="8A543A2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A83E8F"/>
    <w:multiLevelType w:val="hybridMultilevel"/>
    <w:tmpl w:val="7DC8D944"/>
    <w:lvl w:ilvl="0" w:tplc="F402BAB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2450B6"/>
    <w:multiLevelType w:val="hybridMultilevel"/>
    <w:tmpl w:val="3FC4A4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FAE"/>
    <w:rsid w:val="00002ADE"/>
    <w:rsid w:val="000039EA"/>
    <w:rsid w:val="00042538"/>
    <w:rsid w:val="000548D3"/>
    <w:rsid w:val="0008703B"/>
    <w:rsid w:val="000A2629"/>
    <w:rsid w:val="000B48F9"/>
    <w:rsid w:val="000C2FAE"/>
    <w:rsid w:val="000F375D"/>
    <w:rsid w:val="00113075"/>
    <w:rsid w:val="00114225"/>
    <w:rsid w:val="00130CD3"/>
    <w:rsid w:val="00147A27"/>
    <w:rsid w:val="001541E9"/>
    <w:rsid w:val="001977BD"/>
    <w:rsid w:val="001A5D3B"/>
    <w:rsid w:val="001A72BF"/>
    <w:rsid w:val="001D1BDF"/>
    <w:rsid w:val="001D760B"/>
    <w:rsid w:val="00212233"/>
    <w:rsid w:val="002277BF"/>
    <w:rsid w:val="00240BB3"/>
    <w:rsid w:val="002827BF"/>
    <w:rsid w:val="002A4686"/>
    <w:rsid w:val="002E4D03"/>
    <w:rsid w:val="002E7361"/>
    <w:rsid w:val="002F7FC6"/>
    <w:rsid w:val="00302EA8"/>
    <w:rsid w:val="00303CA7"/>
    <w:rsid w:val="00313696"/>
    <w:rsid w:val="003250AF"/>
    <w:rsid w:val="003613C4"/>
    <w:rsid w:val="003654C5"/>
    <w:rsid w:val="00372730"/>
    <w:rsid w:val="00381A48"/>
    <w:rsid w:val="00381AC2"/>
    <w:rsid w:val="00382493"/>
    <w:rsid w:val="003E6EA8"/>
    <w:rsid w:val="003F0CE3"/>
    <w:rsid w:val="003F5EA4"/>
    <w:rsid w:val="003F67A8"/>
    <w:rsid w:val="00415EE3"/>
    <w:rsid w:val="00416AA0"/>
    <w:rsid w:val="00436EB5"/>
    <w:rsid w:val="00441047"/>
    <w:rsid w:val="00441733"/>
    <w:rsid w:val="00475677"/>
    <w:rsid w:val="00490C34"/>
    <w:rsid w:val="00492F57"/>
    <w:rsid w:val="004A599A"/>
    <w:rsid w:val="004A6742"/>
    <w:rsid w:val="004C2A61"/>
    <w:rsid w:val="004C2DF4"/>
    <w:rsid w:val="004D2B54"/>
    <w:rsid w:val="004E72FB"/>
    <w:rsid w:val="0052084D"/>
    <w:rsid w:val="0058649B"/>
    <w:rsid w:val="005873AE"/>
    <w:rsid w:val="00597044"/>
    <w:rsid w:val="005B0E5D"/>
    <w:rsid w:val="005E6F33"/>
    <w:rsid w:val="005F3D7A"/>
    <w:rsid w:val="00650AF6"/>
    <w:rsid w:val="006635BB"/>
    <w:rsid w:val="00674C6F"/>
    <w:rsid w:val="00675C11"/>
    <w:rsid w:val="006763BF"/>
    <w:rsid w:val="00693CC5"/>
    <w:rsid w:val="006C569C"/>
    <w:rsid w:val="006F43A0"/>
    <w:rsid w:val="00703617"/>
    <w:rsid w:val="00733EAF"/>
    <w:rsid w:val="00746D78"/>
    <w:rsid w:val="00754BF1"/>
    <w:rsid w:val="0076661A"/>
    <w:rsid w:val="007732F3"/>
    <w:rsid w:val="00773794"/>
    <w:rsid w:val="007E463E"/>
    <w:rsid w:val="008158F7"/>
    <w:rsid w:val="00827124"/>
    <w:rsid w:val="00841C0E"/>
    <w:rsid w:val="00851AB8"/>
    <w:rsid w:val="008A4882"/>
    <w:rsid w:val="008A67B7"/>
    <w:rsid w:val="008B0BB2"/>
    <w:rsid w:val="008B2FD8"/>
    <w:rsid w:val="008C4949"/>
    <w:rsid w:val="008C6D03"/>
    <w:rsid w:val="008D4AB5"/>
    <w:rsid w:val="008E75CC"/>
    <w:rsid w:val="009150EC"/>
    <w:rsid w:val="0092044F"/>
    <w:rsid w:val="0092271D"/>
    <w:rsid w:val="00925D95"/>
    <w:rsid w:val="00925FB6"/>
    <w:rsid w:val="00937A5C"/>
    <w:rsid w:val="00951C8A"/>
    <w:rsid w:val="0095513F"/>
    <w:rsid w:val="00981CE0"/>
    <w:rsid w:val="009A7A39"/>
    <w:rsid w:val="009B0C65"/>
    <w:rsid w:val="009D66C2"/>
    <w:rsid w:val="009F41FB"/>
    <w:rsid w:val="00A2050B"/>
    <w:rsid w:val="00A44FB6"/>
    <w:rsid w:val="00A7008B"/>
    <w:rsid w:val="00A9215F"/>
    <w:rsid w:val="00AA01C7"/>
    <w:rsid w:val="00AC3AD8"/>
    <w:rsid w:val="00AE06DA"/>
    <w:rsid w:val="00B424C1"/>
    <w:rsid w:val="00B5504D"/>
    <w:rsid w:val="00B62958"/>
    <w:rsid w:val="00B64DC5"/>
    <w:rsid w:val="00B9304C"/>
    <w:rsid w:val="00BA0EFD"/>
    <w:rsid w:val="00BA48A7"/>
    <w:rsid w:val="00BC530B"/>
    <w:rsid w:val="00BC6A8C"/>
    <w:rsid w:val="00BD7A61"/>
    <w:rsid w:val="00BE3E4F"/>
    <w:rsid w:val="00C034BE"/>
    <w:rsid w:val="00C24FA9"/>
    <w:rsid w:val="00C53C85"/>
    <w:rsid w:val="00C933BA"/>
    <w:rsid w:val="00C97ED3"/>
    <w:rsid w:val="00CE064D"/>
    <w:rsid w:val="00D0088C"/>
    <w:rsid w:val="00D045DA"/>
    <w:rsid w:val="00D0736E"/>
    <w:rsid w:val="00D5377F"/>
    <w:rsid w:val="00D56174"/>
    <w:rsid w:val="00D759D9"/>
    <w:rsid w:val="00D91A91"/>
    <w:rsid w:val="00DC3ED5"/>
    <w:rsid w:val="00DD2EC4"/>
    <w:rsid w:val="00DD7623"/>
    <w:rsid w:val="00DE26BD"/>
    <w:rsid w:val="00DE475E"/>
    <w:rsid w:val="00DE4F01"/>
    <w:rsid w:val="00DE6FEE"/>
    <w:rsid w:val="00E0060F"/>
    <w:rsid w:val="00E10C9A"/>
    <w:rsid w:val="00E15EAC"/>
    <w:rsid w:val="00E1667C"/>
    <w:rsid w:val="00E27628"/>
    <w:rsid w:val="00E77DA9"/>
    <w:rsid w:val="00E86A03"/>
    <w:rsid w:val="00EB05D3"/>
    <w:rsid w:val="00F40A3C"/>
    <w:rsid w:val="00F421AB"/>
    <w:rsid w:val="00F533FA"/>
    <w:rsid w:val="00F74923"/>
    <w:rsid w:val="00F770BC"/>
    <w:rsid w:val="00FD3500"/>
    <w:rsid w:val="00FD5353"/>
    <w:rsid w:val="00FF4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77F"/>
    <w:rPr>
      <w:color w:val="0000FF" w:themeColor="hyperlink"/>
      <w:u w:val="single"/>
    </w:rPr>
  </w:style>
  <w:style w:type="paragraph" w:customStyle="1" w:styleId="cn">
    <w:name w:val="cn"/>
    <w:basedOn w:val="a"/>
    <w:rsid w:val="00D5377F"/>
    <w:pPr>
      <w:widowControl/>
      <w:spacing w:before="100" w:beforeAutospacing="1" w:after="100" w:afterAutospacing="1"/>
      <w:jc w:val="left"/>
    </w:pPr>
    <w:rPr>
      <w:rFonts w:ascii="宋体" w:eastAsia="宋体" w:hAnsi="宋体" w:cs="宋体"/>
      <w:kern w:val="0"/>
      <w:sz w:val="24"/>
      <w:szCs w:val="24"/>
    </w:rPr>
  </w:style>
  <w:style w:type="paragraph" w:customStyle="1" w:styleId="en">
    <w:name w:val="en"/>
    <w:basedOn w:val="a"/>
    <w:rsid w:val="00D5377F"/>
    <w:pPr>
      <w:widowControl/>
      <w:spacing w:before="100" w:beforeAutospacing="1" w:after="100" w:afterAutospacing="1"/>
      <w:jc w:val="left"/>
    </w:pPr>
    <w:rPr>
      <w:rFonts w:ascii="宋体" w:eastAsia="宋体" w:hAnsi="宋体" w:cs="宋体"/>
      <w:kern w:val="0"/>
      <w:sz w:val="24"/>
      <w:szCs w:val="24"/>
    </w:rPr>
  </w:style>
  <w:style w:type="character" w:customStyle="1" w:styleId="cn1">
    <w:name w:val="cn1"/>
    <w:basedOn w:val="a0"/>
    <w:rsid w:val="00D5377F"/>
  </w:style>
  <w:style w:type="character" w:customStyle="1" w:styleId="en1">
    <w:name w:val="en1"/>
    <w:basedOn w:val="a0"/>
    <w:rsid w:val="00D5377F"/>
  </w:style>
  <w:style w:type="character" w:customStyle="1" w:styleId="apple-converted-space">
    <w:name w:val="apple-converted-space"/>
    <w:basedOn w:val="a0"/>
    <w:rsid w:val="00D5377F"/>
  </w:style>
  <w:style w:type="paragraph" w:styleId="a4">
    <w:name w:val="List Paragraph"/>
    <w:basedOn w:val="a"/>
    <w:uiPriority w:val="34"/>
    <w:qFormat/>
    <w:rsid w:val="00B62958"/>
    <w:pPr>
      <w:ind w:firstLineChars="200" w:firstLine="420"/>
    </w:pPr>
  </w:style>
  <w:style w:type="paragraph" w:styleId="a5">
    <w:name w:val="header"/>
    <w:basedOn w:val="a"/>
    <w:link w:val="Char"/>
    <w:uiPriority w:val="99"/>
    <w:semiHidden/>
    <w:unhideWhenUsed/>
    <w:rsid w:val="00E10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10C9A"/>
    <w:rPr>
      <w:sz w:val="18"/>
      <w:szCs w:val="18"/>
    </w:rPr>
  </w:style>
  <w:style w:type="paragraph" w:styleId="a6">
    <w:name w:val="footer"/>
    <w:basedOn w:val="a"/>
    <w:link w:val="Char0"/>
    <w:uiPriority w:val="99"/>
    <w:semiHidden/>
    <w:unhideWhenUsed/>
    <w:rsid w:val="00E10C9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10C9A"/>
    <w:rPr>
      <w:sz w:val="18"/>
      <w:szCs w:val="18"/>
    </w:rPr>
  </w:style>
  <w:style w:type="paragraph" w:customStyle="1" w:styleId="tgt">
    <w:name w:val="tgt"/>
    <w:basedOn w:val="a"/>
    <w:rsid w:val="00416A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765771">
      <w:bodyDiv w:val="1"/>
      <w:marLeft w:val="0"/>
      <w:marRight w:val="0"/>
      <w:marTop w:val="0"/>
      <w:marBottom w:val="0"/>
      <w:divBdr>
        <w:top w:val="none" w:sz="0" w:space="0" w:color="auto"/>
        <w:left w:val="none" w:sz="0" w:space="0" w:color="auto"/>
        <w:bottom w:val="none" w:sz="0" w:space="0" w:color="auto"/>
        <w:right w:val="none" w:sz="0" w:space="0" w:color="auto"/>
      </w:divBdr>
    </w:div>
    <w:div w:id="237058189">
      <w:bodyDiv w:val="1"/>
      <w:marLeft w:val="0"/>
      <w:marRight w:val="0"/>
      <w:marTop w:val="0"/>
      <w:marBottom w:val="0"/>
      <w:divBdr>
        <w:top w:val="none" w:sz="0" w:space="0" w:color="auto"/>
        <w:left w:val="none" w:sz="0" w:space="0" w:color="auto"/>
        <w:bottom w:val="none" w:sz="0" w:space="0" w:color="auto"/>
        <w:right w:val="none" w:sz="0" w:space="0" w:color="auto"/>
      </w:divBdr>
      <w:divsChild>
        <w:div w:id="304966434">
          <w:marLeft w:val="0"/>
          <w:marRight w:val="0"/>
          <w:marTop w:val="0"/>
          <w:marBottom w:val="0"/>
          <w:divBdr>
            <w:top w:val="none" w:sz="0" w:space="0" w:color="auto"/>
            <w:left w:val="none" w:sz="0" w:space="0" w:color="auto"/>
            <w:bottom w:val="single" w:sz="2" w:space="3" w:color="CCCCCC"/>
            <w:right w:val="none" w:sz="0" w:space="0" w:color="auto"/>
          </w:divBdr>
        </w:div>
        <w:div w:id="379745799">
          <w:marLeft w:val="0"/>
          <w:marRight w:val="0"/>
          <w:marTop w:val="100"/>
          <w:marBottom w:val="100"/>
          <w:divBdr>
            <w:top w:val="none" w:sz="0" w:space="0" w:color="auto"/>
            <w:left w:val="none" w:sz="0" w:space="0" w:color="auto"/>
            <w:bottom w:val="single" w:sz="2" w:space="0" w:color="999999"/>
            <w:right w:val="none" w:sz="0" w:space="0" w:color="auto"/>
          </w:divBdr>
        </w:div>
        <w:div w:id="516701746">
          <w:marLeft w:val="0"/>
          <w:marRight w:val="0"/>
          <w:marTop w:val="100"/>
          <w:marBottom w:val="100"/>
          <w:divBdr>
            <w:top w:val="none" w:sz="0" w:space="0" w:color="auto"/>
            <w:left w:val="none" w:sz="0" w:space="0" w:color="auto"/>
            <w:bottom w:val="single" w:sz="2" w:space="0" w:color="999999"/>
            <w:right w:val="none" w:sz="0" w:space="0" w:color="auto"/>
          </w:divBdr>
        </w:div>
        <w:div w:id="305163062">
          <w:marLeft w:val="0"/>
          <w:marRight w:val="0"/>
          <w:marTop w:val="100"/>
          <w:marBottom w:val="100"/>
          <w:divBdr>
            <w:top w:val="none" w:sz="0" w:space="0" w:color="auto"/>
            <w:left w:val="none" w:sz="0" w:space="0" w:color="auto"/>
            <w:bottom w:val="single" w:sz="2" w:space="0" w:color="999999"/>
            <w:right w:val="none" w:sz="0" w:space="0" w:color="auto"/>
          </w:divBdr>
        </w:div>
        <w:div w:id="213740633">
          <w:marLeft w:val="0"/>
          <w:marRight w:val="0"/>
          <w:marTop w:val="100"/>
          <w:marBottom w:val="100"/>
          <w:divBdr>
            <w:top w:val="none" w:sz="0" w:space="0" w:color="auto"/>
            <w:left w:val="none" w:sz="0" w:space="0" w:color="auto"/>
            <w:bottom w:val="single" w:sz="2" w:space="0" w:color="999999"/>
            <w:right w:val="none" w:sz="0" w:space="0" w:color="auto"/>
          </w:divBdr>
          <w:divsChild>
            <w:div w:id="1247374587">
              <w:marLeft w:val="0"/>
              <w:marRight w:val="0"/>
              <w:marTop w:val="0"/>
              <w:marBottom w:val="0"/>
              <w:divBdr>
                <w:top w:val="none" w:sz="0" w:space="0" w:color="auto"/>
                <w:left w:val="none" w:sz="0" w:space="0" w:color="auto"/>
                <w:bottom w:val="none" w:sz="0" w:space="0" w:color="auto"/>
                <w:right w:val="none" w:sz="0" w:space="0" w:color="auto"/>
              </w:divBdr>
            </w:div>
          </w:divsChild>
        </w:div>
        <w:div w:id="688143454">
          <w:marLeft w:val="0"/>
          <w:marRight w:val="0"/>
          <w:marTop w:val="0"/>
          <w:marBottom w:val="0"/>
          <w:divBdr>
            <w:top w:val="none" w:sz="0" w:space="0" w:color="auto"/>
            <w:left w:val="none" w:sz="0" w:space="0" w:color="auto"/>
            <w:bottom w:val="none" w:sz="0" w:space="0" w:color="auto"/>
            <w:right w:val="none" w:sz="0" w:space="0" w:color="auto"/>
          </w:divBdr>
        </w:div>
        <w:div w:id="995230236">
          <w:marLeft w:val="0"/>
          <w:marRight w:val="0"/>
          <w:marTop w:val="100"/>
          <w:marBottom w:val="100"/>
          <w:divBdr>
            <w:top w:val="none" w:sz="0" w:space="0" w:color="auto"/>
            <w:left w:val="none" w:sz="0" w:space="0" w:color="auto"/>
            <w:bottom w:val="single" w:sz="2" w:space="0" w:color="999999"/>
            <w:right w:val="none" w:sz="0" w:space="0" w:color="auto"/>
          </w:divBdr>
        </w:div>
        <w:div w:id="1372068753">
          <w:marLeft w:val="0"/>
          <w:marRight w:val="0"/>
          <w:marTop w:val="100"/>
          <w:marBottom w:val="100"/>
          <w:divBdr>
            <w:top w:val="none" w:sz="0" w:space="0" w:color="auto"/>
            <w:left w:val="none" w:sz="0" w:space="0" w:color="auto"/>
            <w:bottom w:val="single" w:sz="2" w:space="0" w:color="999999"/>
            <w:right w:val="none" w:sz="0" w:space="0" w:color="auto"/>
          </w:divBdr>
        </w:div>
      </w:divsChild>
    </w:div>
    <w:div w:id="338511014">
      <w:bodyDiv w:val="1"/>
      <w:marLeft w:val="0"/>
      <w:marRight w:val="0"/>
      <w:marTop w:val="0"/>
      <w:marBottom w:val="0"/>
      <w:divBdr>
        <w:top w:val="none" w:sz="0" w:space="0" w:color="auto"/>
        <w:left w:val="none" w:sz="0" w:space="0" w:color="auto"/>
        <w:bottom w:val="none" w:sz="0" w:space="0" w:color="auto"/>
        <w:right w:val="none" w:sz="0" w:space="0" w:color="auto"/>
      </w:divBdr>
    </w:div>
    <w:div w:id="470752754">
      <w:bodyDiv w:val="1"/>
      <w:marLeft w:val="0"/>
      <w:marRight w:val="0"/>
      <w:marTop w:val="0"/>
      <w:marBottom w:val="0"/>
      <w:divBdr>
        <w:top w:val="none" w:sz="0" w:space="0" w:color="auto"/>
        <w:left w:val="none" w:sz="0" w:space="0" w:color="auto"/>
        <w:bottom w:val="none" w:sz="0" w:space="0" w:color="auto"/>
        <w:right w:val="none" w:sz="0" w:space="0" w:color="auto"/>
      </w:divBdr>
    </w:div>
    <w:div w:id="864176200">
      <w:bodyDiv w:val="1"/>
      <w:marLeft w:val="0"/>
      <w:marRight w:val="0"/>
      <w:marTop w:val="0"/>
      <w:marBottom w:val="0"/>
      <w:divBdr>
        <w:top w:val="none" w:sz="0" w:space="0" w:color="auto"/>
        <w:left w:val="none" w:sz="0" w:space="0" w:color="auto"/>
        <w:bottom w:val="none" w:sz="0" w:space="0" w:color="auto"/>
        <w:right w:val="none" w:sz="0" w:space="0" w:color="auto"/>
      </w:divBdr>
    </w:div>
    <w:div w:id="1007830522">
      <w:bodyDiv w:val="1"/>
      <w:marLeft w:val="0"/>
      <w:marRight w:val="0"/>
      <w:marTop w:val="0"/>
      <w:marBottom w:val="0"/>
      <w:divBdr>
        <w:top w:val="none" w:sz="0" w:space="0" w:color="auto"/>
        <w:left w:val="none" w:sz="0" w:space="0" w:color="auto"/>
        <w:bottom w:val="none" w:sz="0" w:space="0" w:color="auto"/>
        <w:right w:val="none" w:sz="0" w:space="0" w:color="auto"/>
      </w:divBdr>
    </w:div>
    <w:div w:id="14194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1231</Words>
  <Characters>7023</Characters>
  <Application>Microsoft Office Word</Application>
  <DocSecurity>0</DocSecurity>
  <Lines>58</Lines>
  <Paragraphs>16</Paragraphs>
  <ScaleCrop>false</ScaleCrop>
  <Company>tmmu</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qinyu</dc:creator>
  <cp:keywords/>
  <dc:description/>
  <cp:lastModifiedBy>qinyu</cp:lastModifiedBy>
  <cp:revision>49</cp:revision>
  <dcterms:created xsi:type="dcterms:W3CDTF">2014-12-03T01:16:00Z</dcterms:created>
  <dcterms:modified xsi:type="dcterms:W3CDTF">2014-12-25T08:27:00Z</dcterms:modified>
</cp:coreProperties>
</file>