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DF" w:rsidRPr="00862C48" w:rsidRDefault="00DE5510" w:rsidP="00FB2813">
      <w:pPr>
        <w:rPr>
          <w:rFonts w:ascii="Times New Roman" w:hAnsi="Times New Roman" w:cs="Times New Roman"/>
          <w:b/>
          <w:sz w:val="28"/>
          <w:szCs w:val="28"/>
        </w:rPr>
      </w:pPr>
      <w:r w:rsidRPr="00862C48">
        <w:rPr>
          <w:rFonts w:ascii="Times New Roman" w:hAnsi="Times New Roman" w:cs="Times New Roman"/>
          <w:b/>
          <w:sz w:val="28"/>
          <w:szCs w:val="28"/>
        </w:rPr>
        <w:t>S</w:t>
      </w:r>
      <w:r w:rsidR="002C54FF">
        <w:rPr>
          <w:rFonts w:ascii="Times New Roman" w:hAnsi="Times New Roman" w:cs="Times New Roman"/>
          <w:b/>
          <w:sz w:val="28"/>
          <w:szCs w:val="28"/>
        </w:rPr>
        <w:t>1</w:t>
      </w:r>
      <w:r w:rsidR="00A43490" w:rsidRPr="00862C48">
        <w:rPr>
          <w:rFonts w:ascii="Times New Roman" w:hAnsi="Times New Roman" w:cs="Times New Roman"/>
          <w:b/>
          <w:sz w:val="28"/>
          <w:szCs w:val="28"/>
        </w:rPr>
        <w:t xml:space="preserve"> Protocol</w:t>
      </w:r>
      <w:r w:rsidRPr="00862C48">
        <w:rPr>
          <w:rFonts w:ascii="Times New Roman" w:hAnsi="Times New Roman" w:cs="Times New Roman"/>
          <w:b/>
          <w:sz w:val="28"/>
          <w:szCs w:val="28"/>
        </w:rPr>
        <w:t>. Vector Construction.</w:t>
      </w:r>
      <w:r w:rsidR="00FB2813" w:rsidRPr="00862C48">
        <w:rPr>
          <w:rFonts w:ascii="Times New Roman" w:hAnsi="Times New Roman" w:cs="Times New Roman"/>
          <w:b/>
          <w:sz w:val="28"/>
          <w:szCs w:val="28"/>
        </w:rPr>
        <w:t xml:space="preserve"> </w:t>
      </w:r>
    </w:p>
    <w:p w:rsidR="00FB2813" w:rsidRPr="00862C48" w:rsidRDefault="00FB2813" w:rsidP="00FB2813">
      <w:pPr>
        <w:rPr>
          <w:rFonts w:ascii="Times New Roman" w:hAnsi="Times New Roman" w:cs="Times New Roman"/>
          <w:sz w:val="24"/>
          <w:szCs w:val="24"/>
        </w:rPr>
      </w:pPr>
      <w:r w:rsidRPr="00862C48">
        <w:rPr>
          <w:rFonts w:ascii="Times New Roman" w:hAnsi="Times New Roman" w:cs="Times New Roman"/>
          <w:sz w:val="24"/>
          <w:szCs w:val="24"/>
        </w:rPr>
        <w:t xml:space="preserve">The </w:t>
      </w:r>
      <w:r w:rsidRPr="00862C48">
        <w:rPr>
          <w:rFonts w:ascii="Times New Roman" w:hAnsi="Times New Roman" w:cs="Times New Roman"/>
          <w:i/>
          <w:sz w:val="24"/>
          <w:szCs w:val="24"/>
        </w:rPr>
        <w:t>cas9</w:t>
      </w:r>
      <w:r w:rsidRPr="00862C48">
        <w:rPr>
          <w:rFonts w:ascii="Times New Roman" w:hAnsi="Times New Roman" w:cs="Times New Roman"/>
          <w:sz w:val="24"/>
          <w:szCs w:val="24"/>
        </w:rPr>
        <w:t xml:space="preserve"> gene sequence </w:t>
      </w:r>
      <w:bookmarkStart w:id="0" w:name="_GoBack"/>
      <w:bookmarkEnd w:id="0"/>
      <w:r w:rsidRPr="00862C48">
        <w:rPr>
          <w:rFonts w:ascii="Times New Roman" w:hAnsi="Times New Roman" w:cs="Times New Roman"/>
          <w:sz w:val="24"/>
          <w:szCs w:val="24"/>
        </w:rPr>
        <w:t xml:space="preserve">was codon optimized for translation in </w:t>
      </w:r>
      <w:r w:rsidRPr="00862C48">
        <w:rPr>
          <w:rFonts w:ascii="Times New Roman" w:hAnsi="Times New Roman" w:cs="Times New Roman"/>
          <w:i/>
          <w:sz w:val="24"/>
          <w:szCs w:val="24"/>
        </w:rPr>
        <w:t xml:space="preserve">A. </w:t>
      </w:r>
      <w:proofErr w:type="gramStart"/>
      <w:r w:rsidRPr="00862C48">
        <w:rPr>
          <w:rFonts w:ascii="Times New Roman" w:hAnsi="Times New Roman" w:cs="Times New Roman"/>
          <w:i/>
          <w:sz w:val="24"/>
          <w:szCs w:val="24"/>
        </w:rPr>
        <w:t>niger</w:t>
      </w:r>
      <w:proofErr w:type="gramEnd"/>
      <w:r w:rsidRPr="00862C48">
        <w:rPr>
          <w:rFonts w:ascii="Times New Roman" w:hAnsi="Times New Roman" w:cs="Times New Roman"/>
          <w:sz w:val="24"/>
          <w:szCs w:val="24"/>
        </w:rPr>
        <w:t xml:space="preserve"> and synthe</w:t>
      </w:r>
      <w:r w:rsidR="0051596A" w:rsidRPr="00862C48">
        <w:rPr>
          <w:rFonts w:ascii="Times New Roman" w:hAnsi="Times New Roman" w:cs="Times New Roman"/>
          <w:sz w:val="24"/>
          <w:szCs w:val="24"/>
        </w:rPr>
        <w:t>s</w:t>
      </w:r>
      <w:r w:rsidRPr="00862C48">
        <w:rPr>
          <w:rFonts w:ascii="Times New Roman" w:hAnsi="Times New Roman" w:cs="Times New Roman"/>
          <w:sz w:val="24"/>
          <w:szCs w:val="24"/>
        </w:rPr>
        <w:t xml:space="preserve">ized by </w:t>
      </w:r>
      <w:proofErr w:type="spellStart"/>
      <w:r w:rsidRPr="00862C48">
        <w:rPr>
          <w:rFonts w:ascii="Times New Roman" w:hAnsi="Times New Roman" w:cs="Times New Roman"/>
          <w:sz w:val="24"/>
          <w:szCs w:val="24"/>
        </w:rPr>
        <w:t>GeneScript</w:t>
      </w:r>
      <w:proofErr w:type="spellEnd"/>
      <w:r w:rsidRPr="00862C48">
        <w:rPr>
          <w:rFonts w:ascii="Times New Roman" w:hAnsi="Times New Roman" w:cs="Times New Roman"/>
          <w:sz w:val="24"/>
          <w:szCs w:val="24"/>
        </w:rPr>
        <w:t xml:space="preserve"> in two parts. The two </w:t>
      </w:r>
      <w:r w:rsidRPr="00862C48">
        <w:rPr>
          <w:rFonts w:ascii="Times New Roman" w:hAnsi="Times New Roman" w:cs="Times New Roman"/>
          <w:i/>
          <w:sz w:val="24"/>
          <w:szCs w:val="24"/>
        </w:rPr>
        <w:t>cas9</w:t>
      </w:r>
      <w:r w:rsidRPr="00862C48">
        <w:rPr>
          <w:rFonts w:ascii="Times New Roman" w:hAnsi="Times New Roman" w:cs="Times New Roman"/>
          <w:sz w:val="24"/>
          <w:szCs w:val="24"/>
        </w:rPr>
        <w:t xml:space="preserve"> fragments were amplified with primers CSN325+CSN307 and CSN308+CSN309. The tail of primer CSN309 contains additional sequence encoding SV40-NLS in frame with the C-terminus of Cas9. The </w:t>
      </w:r>
      <w:r w:rsidRPr="00862C48">
        <w:rPr>
          <w:rFonts w:ascii="Times New Roman" w:hAnsi="Times New Roman" w:cs="Times New Roman"/>
          <w:i/>
          <w:sz w:val="24"/>
          <w:szCs w:val="24"/>
        </w:rPr>
        <w:t>A. nidulans</w:t>
      </w:r>
      <w:r w:rsidRPr="00862C48">
        <w:rPr>
          <w:rFonts w:ascii="Times New Roman" w:hAnsi="Times New Roman" w:cs="Times New Roman"/>
          <w:sz w:val="24"/>
          <w:szCs w:val="24"/>
        </w:rPr>
        <w:t xml:space="preserve"> </w:t>
      </w:r>
      <w:r w:rsidR="003907D0" w:rsidRPr="00862C48">
        <w:rPr>
          <w:rFonts w:ascii="Times New Roman" w:hAnsi="Times New Roman" w:cs="Times New Roman"/>
          <w:sz w:val="24"/>
          <w:szCs w:val="24"/>
        </w:rPr>
        <w:t xml:space="preserve">putative </w:t>
      </w:r>
      <w:r w:rsidRPr="00862C48">
        <w:rPr>
          <w:rFonts w:ascii="Times New Roman" w:hAnsi="Times New Roman" w:cs="Times New Roman"/>
          <w:sz w:val="24"/>
          <w:szCs w:val="24"/>
        </w:rPr>
        <w:t>Tef1 (AN4218) promoter</w:t>
      </w:r>
      <w:r w:rsidR="003907D0" w:rsidRPr="00862C48">
        <w:rPr>
          <w:rFonts w:ascii="Times New Roman" w:hAnsi="Times New Roman" w:cs="Times New Roman"/>
          <w:sz w:val="24"/>
          <w:szCs w:val="24"/>
        </w:rPr>
        <w:t xml:space="preserve"> (</w:t>
      </w:r>
      <w:r w:rsidR="00E64089" w:rsidRPr="00862C48">
        <w:rPr>
          <w:rFonts w:ascii="Times New Roman" w:hAnsi="Times New Roman" w:cs="Times New Roman"/>
          <w:i/>
          <w:sz w:val="24"/>
          <w:szCs w:val="24"/>
        </w:rPr>
        <w:t>Ptef1</w:t>
      </w:r>
      <w:r w:rsidR="003907D0" w:rsidRPr="00862C48">
        <w:rPr>
          <w:rFonts w:ascii="Times New Roman" w:hAnsi="Times New Roman" w:cs="Times New Roman"/>
          <w:sz w:val="24"/>
          <w:szCs w:val="24"/>
        </w:rPr>
        <w:t>)</w:t>
      </w:r>
      <w:r w:rsidRPr="00862C48">
        <w:rPr>
          <w:rFonts w:ascii="Times New Roman" w:hAnsi="Times New Roman" w:cs="Times New Roman"/>
          <w:sz w:val="24"/>
          <w:szCs w:val="24"/>
        </w:rPr>
        <w:t xml:space="preserve"> and terminator</w:t>
      </w:r>
      <w:r w:rsidR="003907D0" w:rsidRPr="00862C48">
        <w:rPr>
          <w:rFonts w:ascii="Times New Roman" w:hAnsi="Times New Roman" w:cs="Times New Roman"/>
          <w:sz w:val="24"/>
          <w:szCs w:val="24"/>
        </w:rPr>
        <w:t xml:space="preserve"> (</w:t>
      </w:r>
      <w:r w:rsidR="003907D0" w:rsidRPr="00862C48">
        <w:rPr>
          <w:rFonts w:ascii="Times New Roman" w:hAnsi="Times New Roman" w:cs="Times New Roman"/>
          <w:i/>
          <w:sz w:val="24"/>
          <w:szCs w:val="24"/>
        </w:rPr>
        <w:t>T</w:t>
      </w:r>
      <w:r w:rsidR="00E64089" w:rsidRPr="00862C48">
        <w:rPr>
          <w:rFonts w:ascii="Times New Roman" w:hAnsi="Times New Roman" w:cs="Times New Roman"/>
          <w:i/>
          <w:sz w:val="24"/>
          <w:szCs w:val="24"/>
        </w:rPr>
        <w:t>tef1</w:t>
      </w:r>
      <w:r w:rsidR="003907D0" w:rsidRPr="00862C48">
        <w:rPr>
          <w:rFonts w:ascii="Times New Roman" w:hAnsi="Times New Roman" w:cs="Times New Roman"/>
          <w:sz w:val="24"/>
          <w:szCs w:val="24"/>
        </w:rPr>
        <w:t>)</w:t>
      </w:r>
      <w:r w:rsidRPr="00862C48">
        <w:rPr>
          <w:rFonts w:ascii="Times New Roman" w:hAnsi="Times New Roman" w:cs="Times New Roman"/>
          <w:sz w:val="24"/>
          <w:szCs w:val="24"/>
        </w:rPr>
        <w:t xml:space="preserve"> PCR fragments were generated by primers CSN376+CSN321 and CSN322+CSN324, respectively, using </w:t>
      </w:r>
      <w:r w:rsidRPr="00862C48">
        <w:rPr>
          <w:rFonts w:ascii="Times New Roman" w:hAnsi="Times New Roman" w:cs="Times New Roman"/>
          <w:i/>
          <w:sz w:val="24"/>
          <w:szCs w:val="24"/>
        </w:rPr>
        <w:t xml:space="preserve">A. </w:t>
      </w:r>
      <w:proofErr w:type="spellStart"/>
      <w:r w:rsidRPr="00862C48">
        <w:rPr>
          <w:rFonts w:ascii="Times New Roman" w:hAnsi="Times New Roman" w:cs="Times New Roman"/>
          <w:i/>
          <w:sz w:val="24"/>
          <w:szCs w:val="24"/>
        </w:rPr>
        <w:t>nidulans</w:t>
      </w:r>
      <w:proofErr w:type="spellEnd"/>
      <w:r w:rsidRPr="00862C48">
        <w:rPr>
          <w:rFonts w:ascii="Times New Roman" w:hAnsi="Times New Roman" w:cs="Times New Roman"/>
          <w:sz w:val="24"/>
          <w:szCs w:val="24"/>
        </w:rPr>
        <w:t xml:space="preserve"> </w:t>
      </w:r>
      <w:proofErr w:type="spellStart"/>
      <w:r w:rsidRPr="00862C48">
        <w:rPr>
          <w:rFonts w:ascii="Times New Roman" w:hAnsi="Times New Roman" w:cs="Times New Roman"/>
          <w:sz w:val="24"/>
          <w:szCs w:val="24"/>
        </w:rPr>
        <w:t>gDNA</w:t>
      </w:r>
      <w:proofErr w:type="spellEnd"/>
      <w:r w:rsidRPr="00862C48">
        <w:rPr>
          <w:rFonts w:ascii="Times New Roman" w:hAnsi="Times New Roman" w:cs="Times New Roman"/>
          <w:sz w:val="24"/>
          <w:szCs w:val="24"/>
        </w:rPr>
        <w:t xml:space="preserve"> as template. All four fragments were USER cloned into the vector pU0002 </w:t>
      </w:r>
      <w:r w:rsidR="00A43490" w:rsidRPr="00862C48">
        <w:rPr>
          <w:rFonts w:ascii="Times New Roman" w:hAnsi="Times New Roman" w:cs="Times New Roman"/>
          <w:sz w:val="24"/>
          <w:szCs w:val="24"/>
        </w:rPr>
        <w:fldChar w:fldCharType="begin" w:fldLock="1"/>
      </w:r>
      <w:r w:rsidR="006054A4">
        <w:rPr>
          <w:rFonts w:ascii="Times New Roman" w:hAnsi="Times New Roman" w:cs="Times New Roman"/>
          <w:sz w:val="24"/>
          <w:szCs w:val="24"/>
        </w:rPr>
        <w:instrText>ADDIN CSL_CITATION { "citationItems" : [ { "id" : "ITEM-1", "itemData" : { "DOI" : "10.1128/AEM.01768-10", "ISBN" : "1098-5336 (Electronic)\\r0099-2240 (Linking)", "ISSN" : "00992240", "PMID" : "21398493", "abstract" : "Assigning functions to newly discovered genes constitutes one of the major challenges en route to fully exploiting the data becoming available from the genome sequencing initiatives. Heterologous expression in an appropriate host is central in functional genomics studies. In this context, filamentous fungi offer many advantages over bacterial and yeast systems. To facilitate the use of filamentous fungi in functional genomics, we present a versatile cloning system that allows a gene of interest to be expressed from a defined genomic location of Aspergillus nidulans. By a single USER cloning step, genes are easily inserted into a combined targeting-expression cassette ready for rapid integration and analysis. The system comprises a vector set that allows genes to be expressed either from the constitutive PgpdA promoter or from the inducible PalcA promoter. Moreover, by using the vector set, protein variants can easily be made and expressed from the same locus, which is mandatory for proper comparative analyses. Lastly, all individual elements of the vectors can easily be substituted for other similar elements, ensuring the flexibility of the system. We have demonstrated the potential of the system by transferring the 7,745-bp large mpaC gene from Penicillium brevicompactum to A. nidulans. In parallel, we produced defined mutant derivatives of mpaC, and the combined analysis of A. nidulans strains expressing mpaC or mutated mpaC genes unequivocally demonstrated that mpaC indeed encodes a polyketide synthase that produces the first intermediate in the production of the medically important immunosuppressant mycophenolic acid.", "author" : [ { "dropping-particle" : "", "family" : "Hansen", "given" : "Bjarne G.", "non-dropping-particle" : "", "parse-names" : false, "suffix" : "" }, { "dropping-particle" : "", "family" : "Salomonsen", "given" : "Bo", "non-dropping-particle" : "", "parse-names" : false, "suffix" : "" }, { "dropping-particle" : "", "family" : "Nielsen", "given" : "Morten T.", "non-dropping-particle" : "", "parse-names" : false, "suffix" : "" }, { "dropping-particle" : "", "family" : "Nielsen", "given" : "Jakob B.", "non-dropping-particle" : "", "parse-names" : false, "suffix" : "" }, { "dropping-particle" : "", "family" : "Hansen", "given" : "Niels B", "non-dropping-particle" : "", "parse-names" : false, "suffix" : "" }, { "dropping-particle" : "", "family" : "Nielsen", "given" : "Kristian F.", "non-dropping-particle" : "", "parse-names" : false, "suffix" : "" }, { "dropping-particle" : "", "family" : "Regueira", "given" : "Torsten B", "non-dropping-particle" : "", "parse-names" : false, "suffix" : "" }, { "dropping-particle" : "", "family" : "Nielsen", "given" : "Jens", "non-dropping-particle" : "", "parse-names" : false, "suffix" : "" }, { "dropping-particle" : "", "family" : "Patil", "given" : "Kiran R", "non-dropping-particle" : "", "parse-names" : false, "suffix" : "" }, { "dropping-particle" : "", "family" : "Mortensen", "given" : "Uffe H", "non-dropping-particle" : "", "parse-names" : false, "suffix" : "" } ], "container-title" : "Applied and Environmental Microbiology", "id" : "ITEM-1", "issue" : "9", "issued" : { "date-parts" : [ [ "2011", "5" ] ] }, "page" : "3044-3051", "title" : "Versatile enzyme expression and characterization system for Aspergillus nidulans, with the Penicillium brevicompactum polyketide synthase gene from the mycophenolic acid gene cluster as a test case", "type" : "article-journal", "volume" : "77" }, "uris" : [ "http://www.mendeley.com/documents/?uuid=74de042f-023d-480d-9796-1197604640a2" ] }, { "id" : "ITEM-2", "itemData" : { "DOI" : "10.1093/nar/gkm106", "ISSN" : "1362-4962", "PMID" : "17389646", "abstract" : "We present a method that allows simultaneous fusion and cloning of multiple PCR products in a rapid and efficient manner. The procedure is based on the use of PCR primers that contain a single deoxyuridine residue near their 5' end. Treatment of the PCR products with a commercial deoxyuridine-excision reagent generates long 3' overhangs designed to specifically complement each other. The combination of this principle with the improved USER cloning technique provides a simple, fast and very efficient method to simultaneously fuse and clone multiple PCR fragments into a vector of interest. Around 90% positive clones were obtained when three different PCR products were fused and cloned into a USER-compatible vector in a simple procedure that, apart from the single PCR amplification step and the bacterial transformation, took approximately one hour. We expect this method to replace overlapping PCR and the use of type IIS restriction enzymes in many of their applications.", "author" : [ { "dropping-particle" : "", "family" : "Geu-Flores", "given" : "Fernando", "non-dropping-particle" : "", "parse-names" : false, "suffix" : "" }, { "dropping-particle" : "", "family" : "Nour-Eldin", "given" : "Hussam H", "non-dropping-particle" : "", "parse-names" : false, "suffix" : "" }, { "dropping-particle" : "", "family" : "Nielsen", "given" : "Morten T", "non-dropping-particle" : "", "parse-names" : false, "suffix" : "" }, { "dropping-particle" : "", "family" : "Halkier", "given" : "Barbara a", "non-dropping-particle" : "", "parse-names" : false, "suffix" : "" } ], "container-title" : "Nucleic acids research", "id" : "ITEM-2", "issue" : "7", "issued" : { "date-parts" : [ [ "2007", "1" ] ] }, "page" : "e55", "title" : "USER fusion: a rapid and efficient method for simultaneous fusion and cloning of multiple PCR products.", "type" : "article-journal", "volume" : "35" }, "uris" : [ "http://www.mendeley.com/documents/?uuid=c276d06d-7cc6-4ea4-8b75-05f6133429b8" ] } ], "mendeley" : { "formattedCitation" : "[1,2]", "plainTextFormattedCitation" : "[1,2]", "previouslyFormattedCitation" : "(1,2)" }, "properties" : { "noteIndex" : 0 }, "schema" : "https://github.com/citation-style-language/schema/raw/master/csl-citation.json" }</w:instrText>
      </w:r>
      <w:r w:rsidR="00A43490" w:rsidRPr="00862C48">
        <w:rPr>
          <w:rFonts w:ascii="Times New Roman" w:hAnsi="Times New Roman" w:cs="Times New Roman"/>
          <w:sz w:val="24"/>
          <w:szCs w:val="24"/>
        </w:rPr>
        <w:fldChar w:fldCharType="separate"/>
      </w:r>
      <w:r w:rsidR="006054A4" w:rsidRPr="006054A4">
        <w:rPr>
          <w:rFonts w:ascii="Times New Roman" w:hAnsi="Times New Roman" w:cs="Times New Roman"/>
          <w:noProof/>
          <w:sz w:val="24"/>
          <w:szCs w:val="24"/>
        </w:rPr>
        <w:t>[1,2]</w:t>
      </w:r>
      <w:r w:rsidR="00A43490" w:rsidRPr="00862C48">
        <w:rPr>
          <w:rFonts w:ascii="Times New Roman" w:hAnsi="Times New Roman" w:cs="Times New Roman"/>
          <w:sz w:val="24"/>
          <w:szCs w:val="24"/>
        </w:rPr>
        <w:fldChar w:fldCharType="end"/>
      </w:r>
      <w:r w:rsidR="003907D0" w:rsidRPr="00862C48">
        <w:rPr>
          <w:rFonts w:ascii="Times New Roman" w:hAnsi="Times New Roman" w:cs="Times New Roman"/>
          <w:sz w:val="24"/>
          <w:szCs w:val="24"/>
        </w:rPr>
        <w:t>, and from this vector</w:t>
      </w:r>
      <w:r w:rsidR="001443DF" w:rsidRPr="00862C48">
        <w:rPr>
          <w:rFonts w:ascii="Times New Roman" w:hAnsi="Times New Roman" w:cs="Times New Roman"/>
          <w:sz w:val="24"/>
          <w:szCs w:val="24"/>
        </w:rPr>
        <w:t xml:space="preserve"> (pU0000-Cas9)</w:t>
      </w:r>
      <w:r w:rsidR="003907D0" w:rsidRPr="00862C48">
        <w:rPr>
          <w:rFonts w:ascii="Times New Roman" w:hAnsi="Times New Roman" w:cs="Times New Roman"/>
          <w:sz w:val="24"/>
          <w:szCs w:val="24"/>
        </w:rPr>
        <w:t xml:space="preserve"> pFC330-333 was constructed</w:t>
      </w:r>
      <w:r w:rsidR="006316DF" w:rsidRPr="00862C48">
        <w:rPr>
          <w:rFonts w:ascii="Times New Roman" w:hAnsi="Times New Roman" w:cs="Times New Roman"/>
          <w:sz w:val="24"/>
          <w:szCs w:val="24"/>
        </w:rPr>
        <w:t xml:space="preserve">. </w:t>
      </w:r>
      <w:r w:rsidRPr="00862C48">
        <w:rPr>
          <w:rFonts w:ascii="Times New Roman" w:hAnsi="Times New Roman" w:cs="Times New Roman"/>
          <w:sz w:val="24"/>
          <w:szCs w:val="24"/>
        </w:rPr>
        <w:t xml:space="preserve">The vectors </w:t>
      </w:r>
      <w:r w:rsidR="00E64089" w:rsidRPr="00862C48">
        <w:rPr>
          <w:rFonts w:ascii="Times New Roman" w:hAnsi="Times New Roman" w:cs="Times New Roman"/>
          <w:sz w:val="24"/>
          <w:szCs w:val="24"/>
        </w:rPr>
        <w:t>pF</w:t>
      </w:r>
      <w:r w:rsidR="006316DF" w:rsidRPr="00862C48">
        <w:rPr>
          <w:rFonts w:ascii="Times New Roman" w:hAnsi="Times New Roman" w:cs="Times New Roman"/>
          <w:sz w:val="24"/>
          <w:szCs w:val="24"/>
        </w:rPr>
        <w:t>C330-333</w:t>
      </w:r>
      <w:r w:rsidRPr="00862C48">
        <w:rPr>
          <w:rFonts w:ascii="Times New Roman" w:hAnsi="Times New Roman" w:cs="Times New Roman"/>
          <w:sz w:val="24"/>
          <w:szCs w:val="24"/>
        </w:rPr>
        <w:t xml:space="preserve"> were assembled by USER fusion of four individual PCR fragments of which three are common for all four plasmids. The </w:t>
      </w:r>
      <w:r w:rsidR="00E64089" w:rsidRPr="00862C48">
        <w:rPr>
          <w:rFonts w:ascii="Times New Roman" w:hAnsi="Times New Roman" w:cs="Times New Roman"/>
          <w:i/>
          <w:sz w:val="24"/>
          <w:szCs w:val="24"/>
        </w:rPr>
        <w:t>Ptef1-Cas9-NLS-Ttef1</w:t>
      </w:r>
      <w:r w:rsidRPr="00862C48">
        <w:rPr>
          <w:rFonts w:ascii="Times New Roman" w:hAnsi="Times New Roman" w:cs="Times New Roman"/>
          <w:sz w:val="24"/>
          <w:szCs w:val="24"/>
        </w:rPr>
        <w:t xml:space="preserve"> was PCR amplified with the primers CSN385+CSN323, using pU0000-Cas9 as template. The AMA1 element was amplified from pAC161 in two </w:t>
      </w:r>
      <w:proofErr w:type="gramStart"/>
      <w:r w:rsidRPr="00862C48">
        <w:rPr>
          <w:rFonts w:ascii="Times New Roman" w:hAnsi="Times New Roman" w:cs="Times New Roman"/>
          <w:sz w:val="24"/>
          <w:szCs w:val="24"/>
        </w:rPr>
        <w:t>pieces,</w:t>
      </w:r>
      <w:proofErr w:type="gramEnd"/>
      <w:r w:rsidRPr="00862C48">
        <w:rPr>
          <w:rFonts w:ascii="Times New Roman" w:hAnsi="Times New Roman" w:cs="Times New Roman"/>
          <w:sz w:val="24"/>
          <w:szCs w:val="24"/>
        </w:rPr>
        <w:t xml:space="preserve"> one part was made from primers KBR088+CSN386, while the other part including a 5´ part of the </w:t>
      </w:r>
      <w:proofErr w:type="spellStart"/>
      <w:r w:rsidRPr="00862C48">
        <w:rPr>
          <w:rFonts w:ascii="Times New Roman" w:hAnsi="Times New Roman" w:cs="Times New Roman"/>
          <w:i/>
          <w:sz w:val="24"/>
          <w:szCs w:val="24"/>
        </w:rPr>
        <w:t>amp</w:t>
      </w:r>
      <w:r w:rsidRPr="00862C48">
        <w:rPr>
          <w:rFonts w:ascii="Times New Roman" w:hAnsi="Times New Roman" w:cs="Times New Roman"/>
          <w:i/>
          <w:sz w:val="24"/>
          <w:szCs w:val="24"/>
          <w:vertAlign w:val="superscript"/>
        </w:rPr>
        <w:t>R</w:t>
      </w:r>
      <w:proofErr w:type="spellEnd"/>
      <w:r w:rsidRPr="00862C48">
        <w:rPr>
          <w:rFonts w:ascii="Times New Roman" w:hAnsi="Times New Roman" w:cs="Times New Roman"/>
          <w:sz w:val="24"/>
          <w:szCs w:val="24"/>
        </w:rPr>
        <w:t xml:space="preserve"> gene was amplified by CSN379+KBR087. The fourth variable fragment contained one of the following four fungal selection markers, </w:t>
      </w:r>
      <w:proofErr w:type="spellStart"/>
      <w:r w:rsidRPr="00862C48">
        <w:rPr>
          <w:rFonts w:ascii="Times New Roman" w:hAnsi="Times New Roman" w:cs="Times New Roman"/>
          <w:i/>
          <w:sz w:val="24"/>
          <w:szCs w:val="24"/>
        </w:rPr>
        <w:t>AF</w:t>
      </w:r>
      <w:r w:rsidR="0090091B" w:rsidRPr="00862C48">
        <w:rPr>
          <w:rFonts w:ascii="Times New Roman" w:hAnsi="Times New Roman" w:cs="Times New Roman"/>
          <w:i/>
          <w:sz w:val="24"/>
          <w:szCs w:val="24"/>
        </w:rPr>
        <w:t>_</w:t>
      </w:r>
      <w:r w:rsidRPr="00862C48">
        <w:rPr>
          <w:rFonts w:ascii="Times New Roman" w:hAnsi="Times New Roman" w:cs="Times New Roman"/>
          <w:i/>
          <w:sz w:val="24"/>
          <w:szCs w:val="24"/>
        </w:rPr>
        <w:t>pyrG</w:t>
      </w:r>
      <w:proofErr w:type="spellEnd"/>
      <w:r w:rsidRPr="00862C48">
        <w:rPr>
          <w:rFonts w:ascii="Times New Roman" w:hAnsi="Times New Roman" w:cs="Times New Roman"/>
          <w:i/>
          <w:sz w:val="24"/>
          <w:szCs w:val="24"/>
        </w:rPr>
        <w:t xml:space="preserve"> </w:t>
      </w:r>
      <w:r w:rsidRPr="00862C48">
        <w:rPr>
          <w:rFonts w:ascii="Times New Roman" w:hAnsi="Times New Roman" w:cs="Times New Roman"/>
          <w:sz w:val="24"/>
          <w:szCs w:val="24"/>
        </w:rPr>
        <w:t>(</w:t>
      </w:r>
      <w:r w:rsidRPr="00862C48">
        <w:rPr>
          <w:rFonts w:ascii="Times New Roman" w:hAnsi="Times New Roman" w:cs="Times New Roman"/>
          <w:i/>
          <w:sz w:val="24"/>
          <w:szCs w:val="24"/>
        </w:rPr>
        <w:t xml:space="preserve">A. </w:t>
      </w:r>
      <w:proofErr w:type="spellStart"/>
      <w:r w:rsidRPr="00862C48">
        <w:rPr>
          <w:rFonts w:ascii="Times New Roman" w:hAnsi="Times New Roman" w:cs="Times New Roman"/>
          <w:i/>
          <w:sz w:val="24"/>
          <w:szCs w:val="24"/>
        </w:rPr>
        <w:t>fumigatus</w:t>
      </w:r>
      <w:proofErr w:type="spellEnd"/>
      <w:r w:rsidR="00AF6A57" w:rsidRPr="00862C48">
        <w:rPr>
          <w:rFonts w:ascii="Times New Roman" w:hAnsi="Times New Roman" w:cs="Times New Roman"/>
          <w:sz w:val="24"/>
          <w:szCs w:val="24"/>
        </w:rPr>
        <w:t>, pF</w:t>
      </w:r>
      <w:r w:rsidRPr="00862C48">
        <w:rPr>
          <w:rFonts w:ascii="Times New Roman" w:hAnsi="Times New Roman" w:cs="Times New Roman"/>
          <w:sz w:val="24"/>
          <w:szCs w:val="24"/>
        </w:rPr>
        <w:t xml:space="preserve">C330), </w:t>
      </w:r>
      <w:proofErr w:type="spellStart"/>
      <w:r w:rsidR="006316DF" w:rsidRPr="00862C48">
        <w:rPr>
          <w:rFonts w:ascii="Times New Roman" w:hAnsi="Times New Roman" w:cs="Times New Roman"/>
          <w:i/>
          <w:sz w:val="24"/>
          <w:szCs w:val="24"/>
        </w:rPr>
        <w:t>AN</w:t>
      </w:r>
      <w:r w:rsidR="0090091B" w:rsidRPr="00862C48">
        <w:rPr>
          <w:rFonts w:ascii="Times New Roman" w:hAnsi="Times New Roman" w:cs="Times New Roman"/>
          <w:i/>
          <w:sz w:val="24"/>
          <w:szCs w:val="24"/>
        </w:rPr>
        <w:t>_</w:t>
      </w:r>
      <w:r w:rsidRPr="00862C48">
        <w:rPr>
          <w:rFonts w:ascii="Times New Roman" w:hAnsi="Times New Roman" w:cs="Times New Roman"/>
          <w:i/>
          <w:sz w:val="24"/>
          <w:szCs w:val="24"/>
        </w:rPr>
        <w:t>argB</w:t>
      </w:r>
      <w:proofErr w:type="spellEnd"/>
      <w:r w:rsidRPr="00862C48">
        <w:rPr>
          <w:rFonts w:ascii="Times New Roman" w:hAnsi="Times New Roman" w:cs="Times New Roman"/>
          <w:i/>
          <w:sz w:val="24"/>
          <w:szCs w:val="24"/>
        </w:rPr>
        <w:t xml:space="preserve"> </w:t>
      </w:r>
      <w:r w:rsidR="00AF6A57" w:rsidRPr="00862C48">
        <w:rPr>
          <w:rFonts w:ascii="Times New Roman" w:hAnsi="Times New Roman" w:cs="Times New Roman"/>
          <w:sz w:val="24"/>
          <w:szCs w:val="24"/>
        </w:rPr>
        <w:t>(pF</w:t>
      </w:r>
      <w:r w:rsidRPr="00862C48">
        <w:rPr>
          <w:rFonts w:ascii="Times New Roman" w:hAnsi="Times New Roman" w:cs="Times New Roman"/>
          <w:sz w:val="24"/>
          <w:szCs w:val="24"/>
        </w:rPr>
        <w:t xml:space="preserve">C331), </w:t>
      </w:r>
      <w:proofErr w:type="spellStart"/>
      <w:r w:rsidRPr="00862C48">
        <w:rPr>
          <w:rFonts w:ascii="Times New Roman" w:hAnsi="Times New Roman" w:cs="Times New Roman"/>
          <w:i/>
          <w:sz w:val="24"/>
          <w:szCs w:val="24"/>
        </w:rPr>
        <w:t>hph</w:t>
      </w:r>
      <w:r w:rsidRPr="00862C48">
        <w:rPr>
          <w:rFonts w:ascii="Times New Roman" w:hAnsi="Times New Roman" w:cs="Times New Roman"/>
          <w:i/>
          <w:sz w:val="24"/>
          <w:szCs w:val="24"/>
          <w:vertAlign w:val="superscript"/>
        </w:rPr>
        <w:t>R</w:t>
      </w:r>
      <w:proofErr w:type="spellEnd"/>
      <w:r w:rsidRPr="00862C48">
        <w:rPr>
          <w:rFonts w:ascii="Times New Roman" w:hAnsi="Times New Roman" w:cs="Times New Roman"/>
          <w:sz w:val="24"/>
          <w:szCs w:val="24"/>
        </w:rPr>
        <w:t xml:space="preserve"> (</w:t>
      </w:r>
      <w:r w:rsidR="00AF6A57" w:rsidRPr="00862C48">
        <w:rPr>
          <w:rFonts w:ascii="Times New Roman" w:hAnsi="Times New Roman" w:cs="Times New Roman"/>
          <w:sz w:val="24"/>
          <w:szCs w:val="24"/>
        </w:rPr>
        <w:t>pF</w:t>
      </w:r>
      <w:r w:rsidRPr="00862C48">
        <w:rPr>
          <w:rFonts w:ascii="Times New Roman" w:hAnsi="Times New Roman" w:cs="Times New Roman"/>
          <w:sz w:val="24"/>
          <w:szCs w:val="24"/>
        </w:rPr>
        <w:t xml:space="preserve">C332) or </w:t>
      </w:r>
      <w:proofErr w:type="spellStart"/>
      <w:r w:rsidRPr="00862C48">
        <w:rPr>
          <w:rFonts w:ascii="Times New Roman" w:hAnsi="Times New Roman" w:cs="Times New Roman"/>
          <w:i/>
          <w:sz w:val="24"/>
          <w:szCs w:val="24"/>
        </w:rPr>
        <w:t>ble</w:t>
      </w:r>
      <w:r w:rsidRPr="00862C48">
        <w:rPr>
          <w:rFonts w:ascii="Times New Roman" w:hAnsi="Times New Roman" w:cs="Times New Roman"/>
          <w:i/>
          <w:sz w:val="24"/>
          <w:szCs w:val="24"/>
          <w:vertAlign w:val="superscript"/>
        </w:rPr>
        <w:t>R</w:t>
      </w:r>
      <w:proofErr w:type="spellEnd"/>
      <w:r w:rsidRPr="00862C48">
        <w:rPr>
          <w:rFonts w:ascii="Times New Roman" w:hAnsi="Times New Roman" w:cs="Times New Roman"/>
          <w:sz w:val="24"/>
          <w:szCs w:val="24"/>
          <w:vertAlign w:val="superscript"/>
        </w:rPr>
        <w:t xml:space="preserve"> </w:t>
      </w:r>
      <w:r w:rsidRPr="00862C48">
        <w:rPr>
          <w:rFonts w:ascii="Times New Roman" w:hAnsi="Times New Roman" w:cs="Times New Roman"/>
          <w:sz w:val="24"/>
          <w:szCs w:val="24"/>
        </w:rPr>
        <w:t>(</w:t>
      </w:r>
      <w:r w:rsidR="00AF6A57" w:rsidRPr="00862C48">
        <w:rPr>
          <w:rFonts w:ascii="Times New Roman" w:hAnsi="Times New Roman" w:cs="Times New Roman"/>
          <w:sz w:val="24"/>
          <w:szCs w:val="24"/>
        </w:rPr>
        <w:t>pF</w:t>
      </w:r>
      <w:r w:rsidRPr="00862C48">
        <w:rPr>
          <w:rFonts w:ascii="Times New Roman" w:hAnsi="Times New Roman" w:cs="Times New Roman"/>
          <w:sz w:val="24"/>
          <w:szCs w:val="24"/>
        </w:rPr>
        <w:t xml:space="preserve">C333), together with an </w:t>
      </w:r>
      <w:r w:rsidRPr="00862C48">
        <w:rPr>
          <w:rFonts w:ascii="Times New Roman" w:hAnsi="Times New Roman" w:cs="Times New Roman"/>
          <w:i/>
          <w:sz w:val="24"/>
          <w:szCs w:val="24"/>
        </w:rPr>
        <w:t>E.coli</w:t>
      </w:r>
      <w:r w:rsidRPr="00862C48">
        <w:rPr>
          <w:rFonts w:ascii="Times New Roman" w:hAnsi="Times New Roman" w:cs="Times New Roman"/>
          <w:sz w:val="24"/>
          <w:szCs w:val="24"/>
        </w:rPr>
        <w:t xml:space="preserve"> origin and the 3’ part of the </w:t>
      </w:r>
      <w:proofErr w:type="spellStart"/>
      <w:r w:rsidRPr="00862C48">
        <w:rPr>
          <w:rFonts w:ascii="Times New Roman" w:hAnsi="Times New Roman" w:cs="Times New Roman"/>
          <w:i/>
          <w:sz w:val="24"/>
          <w:szCs w:val="24"/>
        </w:rPr>
        <w:t>amp</w:t>
      </w:r>
      <w:r w:rsidRPr="00862C48">
        <w:rPr>
          <w:rFonts w:ascii="Times New Roman" w:hAnsi="Times New Roman" w:cs="Times New Roman"/>
          <w:i/>
          <w:sz w:val="24"/>
          <w:szCs w:val="24"/>
          <w:vertAlign w:val="superscript"/>
        </w:rPr>
        <w:t>R</w:t>
      </w:r>
      <w:proofErr w:type="spellEnd"/>
      <w:r w:rsidRPr="00862C48">
        <w:rPr>
          <w:rFonts w:ascii="Times New Roman" w:hAnsi="Times New Roman" w:cs="Times New Roman"/>
          <w:sz w:val="24"/>
          <w:szCs w:val="24"/>
        </w:rPr>
        <w:t xml:space="preserve"> marker. </w:t>
      </w:r>
      <w:proofErr w:type="spellStart"/>
      <w:r w:rsidRPr="00862C48">
        <w:rPr>
          <w:rFonts w:ascii="Times New Roman" w:hAnsi="Times New Roman" w:cs="Times New Roman"/>
          <w:i/>
          <w:sz w:val="24"/>
          <w:szCs w:val="24"/>
        </w:rPr>
        <w:t>AF</w:t>
      </w:r>
      <w:r w:rsidR="0090091B" w:rsidRPr="00862C48">
        <w:rPr>
          <w:rFonts w:ascii="Times New Roman" w:hAnsi="Times New Roman" w:cs="Times New Roman"/>
          <w:i/>
          <w:sz w:val="24"/>
          <w:szCs w:val="24"/>
        </w:rPr>
        <w:t>_</w:t>
      </w:r>
      <w:r w:rsidRPr="00862C48">
        <w:rPr>
          <w:rFonts w:ascii="Times New Roman" w:hAnsi="Times New Roman" w:cs="Times New Roman"/>
          <w:i/>
          <w:sz w:val="24"/>
          <w:szCs w:val="24"/>
        </w:rPr>
        <w:t>pyrG</w:t>
      </w:r>
      <w:proofErr w:type="spellEnd"/>
      <w:r w:rsidRPr="00862C48">
        <w:rPr>
          <w:rFonts w:ascii="Times New Roman" w:hAnsi="Times New Roman" w:cs="Times New Roman"/>
          <w:sz w:val="24"/>
          <w:szCs w:val="24"/>
        </w:rPr>
        <w:t xml:space="preserve"> was amplified with primers CSN380+</w:t>
      </w:r>
      <w:proofErr w:type="gramStart"/>
      <w:r w:rsidRPr="00862C48">
        <w:rPr>
          <w:rFonts w:ascii="Times New Roman" w:hAnsi="Times New Roman" w:cs="Times New Roman"/>
          <w:sz w:val="24"/>
          <w:szCs w:val="24"/>
        </w:rPr>
        <w:t>CSN382,</w:t>
      </w:r>
      <w:proofErr w:type="gramEnd"/>
      <w:r w:rsidRPr="00862C48">
        <w:rPr>
          <w:rFonts w:ascii="Times New Roman" w:hAnsi="Times New Roman" w:cs="Times New Roman"/>
          <w:sz w:val="24"/>
          <w:szCs w:val="24"/>
        </w:rPr>
        <w:t xml:space="preserve"> using </w:t>
      </w:r>
      <w:r w:rsidR="00AF6A57" w:rsidRPr="00862C48">
        <w:rPr>
          <w:rFonts w:ascii="Times New Roman" w:hAnsi="Times New Roman" w:cs="Times New Roman"/>
          <w:sz w:val="24"/>
          <w:szCs w:val="24"/>
        </w:rPr>
        <w:t>pA</w:t>
      </w:r>
      <w:r w:rsidRPr="00862C48">
        <w:rPr>
          <w:rFonts w:ascii="Times New Roman" w:hAnsi="Times New Roman" w:cs="Times New Roman"/>
          <w:sz w:val="24"/>
          <w:szCs w:val="24"/>
        </w:rPr>
        <w:t xml:space="preserve">C161 as template, while primers CSN380+CSN381 and template pAC76 was used for </w:t>
      </w:r>
      <w:proofErr w:type="spellStart"/>
      <w:r w:rsidRPr="00862C48">
        <w:rPr>
          <w:rFonts w:ascii="Times New Roman" w:hAnsi="Times New Roman" w:cs="Times New Roman"/>
          <w:i/>
          <w:sz w:val="24"/>
          <w:szCs w:val="24"/>
        </w:rPr>
        <w:t>argB</w:t>
      </w:r>
      <w:proofErr w:type="spellEnd"/>
      <w:r w:rsidRPr="00862C48">
        <w:rPr>
          <w:rFonts w:ascii="Times New Roman" w:hAnsi="Times New Roman" w:cs="Times New Roman"/>
          <w:i/>
          <w:sz w:val="24"/>
          <w:szCs w:val="24"/>
        </w:rPr>
        <w:t>.</w:t>
      </w:r>
      <w:r w:rsidRPr="00862C48">
        <w:rPr>
          <w:rFonts w:ascii="Times New Roman" w:hAnsi="Times New Roman" w:cs="Times New Roman"/>
          <w:sz w:val="24"/>
          <w:szCs w:val="24"/>
        </w:rPr>
        <w:t xml:space="preserve"> </w:t>
      </w:r>
      <w:proofErr w:type="spellStart"/>
      <w:proofErr w:type="gramStart"/>
      <w:r w:rsidRPr="00862C48">
        <w:rPr>
          <w:rFonts w:ascii="Times New Roman" w:hAnsi="Times New Roman" w:cs="Times New Roman"/>
          <w:i/>
          <w:sz w:val="24"/>
          <w:szCs w:val="24"/>
        </w:rPr>
        <w:t>hph</w:t>
      </w:r>
      <w:r w:rsidRPr="00862C48">
        <w:rPr>
          <w:rFonts w:ascii="Times New Roman" w:hAnsi="Times New Roman" w:cs="Times New Roman"/>
          <w:i/>
          <w:sz w:val="24"/>
          <w:szCs w:val="24"/>
          <w:vertAlign w:val="superscript"/>
        </w:rPr>
        <w:t>R</w:t>
      </w:r>
      <w:proofErr w:type="spellEnd"/>
      <w:proofErr w:type="gramEnd"/>
      <w:r w:rsidRPr="00862C48">
        <w:rPr>
          <w:rFonts w:ascii="Times New Roman" w:hAnsi="Times New Roman" w:cs="Times New Roman"/>
          <w:sz w:val="24"/>
          <w:szCs w:val="24"/>
        </w:rPr>
        <w:t xml:space="preserve"> and </w:t>
      </w:r>
      <w:proofErr w:type="spellStart"/>
      <w:r w:rsidRPr="00862C48">
        <w:rPr>
          <w:rFonts w:ascii="Times New Roman" w:hAnsi="Times New Roman" w:cs="Times New Roman"/>
          <w:i/>
          <w:sz w:val="24"/>
          <w:szCs w:val="24"/>
        </w:rPr>
        <w:t>ble</w:t>
      </w:r>
      <w:r w:rsidRPr="00862C48">
        <w:rPr>
          <w:rFonts w:ascii="Times New Roman" w:hAnsi="Times New Roman" w:cs="Times New Roman"/>
          <w:i/>
          <w:sz w:val="24"/>
          <w:szCs w:val="24"/>
          <w:vertAlign w:val="superscript"/>
        </w:rPr>
        <w:t>R</w:t>
      </w:r>
      <w:proofErr w:type="spellEnd"/>
      <w:r w:rsidRPr="00862C48">
        <w:rPr>
          <w:rFonts w:ascii="Times New Roman" w:hAnsi="Times New Roman" w:cs="Times New Roman"/>
          <w:sz w:val="24"/>
          <w:szCs w:val="24"/>
        </w:rPr>
        <w:t xml:space="preserve"> were amplified using the same primer set, CSN380+CSN378, but by using templates pAC162 or pAC245, respectively.</w:t>
      </w:r>
    </w:p>
    <w:p w:rsidR="00FB2813" w:rsidRPr="00862C48" w:rsidRDefault="00FB2813" w:rsidP="00FB2813">
      <w:pPr>
        <w:rPr>
          <w:rFonts w:ascii="Times New Roman" w:hAnsi="Times New Roman" w:cs="Times New Roman"/>
          <w:sz w:val="24"/>
          <w:szCs w:val="24"/>
        </w:rPr>
      </w:pPr>
      <w:r w:rsidRPr="00862C48">
        <w:rPr>
          <w:rFonts w:ascii="Times New Roman" w:hAnsi="Times New Roman" w:cs="Times New Roman"/>
          <w:sz w:val="24"/>
          <w:szCs w:val="24"/>
        </w:rPr>
        <w:t xml:space="preserve">For expression of an </w:t>
      </w:r>
      <w:proofErr w:type="spellStart"/>
      <w:r w:rsidRPr="00862C48">
        <w:rPr>
          <w:rFonts w:ascii="Times New Roman" w:hAnsi="Times New Roman" w:cs="Times New Roman"/>
          <w:i/>
          <w:sz w:val="24"/>
          <w:szCs w:val="24"/>
        </w:rPr>
        <w:t>AN</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yA</w:t>
      </w:r>
      <w:proofErr w:type="spellEnd"/>
      <w:r w:rsidRPr="00862C48">
        <w:rPr>
          <w:rFonts w:ascii="Times New Roman" w:hAnsi="Times New Roman" w:cs="Times New Roman"/>
          <w:sz w:val="24"/>
          <w:szCs w:val="24"/>
        </w:rPr>
        <w:t xml:space="preserve"> specific </w:t>
      </w:r>
      <w:proofErr w:type="spellStart"/>
      <w:r w:rsidRPr="00862C48">
        <w:rPr>
          <w:rFonts w:ascii="Times New Roman" w:hAnsi="Times New Roman" w:cs="Times New Roman"/>
          <w:sz w:val="24"/>
          <w:szCs w:val="24"/>
        </w:rPr>
        <w:t>sgRNA</w:t>
      </w:r>
      <w:proofErr w:type="spellEnd"/>
      <w:r w:rsidRPr="00862C48">
        <w:rPr>
          <w:rFonts w:ascii="Times New Roman" w:hAnsi="Times New Roman" w:cs="Times New Roman"/>
          <w:sz w:val="24"/>
          <w:szCs w:val="24"/>
        </w:rPr>
        <w:t xml:space="preserve">, a </w:t>
      </w:r>
      <w:proofErr w:type="spellStart"/>
      <w:r w:rsidRPr="00862C48">
        <w:rPr>
          <w:rFonts w:ascii="Times New Roman" w:hAnsi="Times New Roman" w:cs="Times New Roman"/>
          <w:sz w:val="24"/>
          <w:szCs w:val="24"/>
        </w:rPr>
        <w:t>gBlock</w:t>
      </w:r>
      <w:proofErr w:type="spellEnd"/>
      <w:r w:rsidRPr="00862C48">
        <w:rPr>
          <w:rFonts w:ascii="Times New Roman" w:hAnsi="Times New Roman" w:cs="Times New Roman"/>
          <w:sz w:val="24"/>
          <w:szCs w:val="24"/>
        </w:rPr>
        <w:t xml:space="preserve"> (IDT</w:t>
      </w:r>
      <w:r w:rsidR="00E64089" w:rsidRPr="00862C48">
        <w:rPr>
          <w:rFonts w:ascii="Times New Roman" w:hAnsi="Times New Roman" w:cs="Times New Roman"/>
          <w:sz w:val="24"/>
          <w:szCs w:val="24"/>
        </w:rPr>
        <w:t>, Belgium</w:t>
      </w:r>
      <w:r w:rsidRPr="00862C48">
        <w:rPr>
          <w:rFonts w:ascii="Times New Roman" w:hAnsi="Times New Roman" w:cs="Times New Roman"/>
          <w:sz w:val="24"/>
          <w:szCs w:val="24"/>
        </w:rPr>
        <w:t xml:space="preserve">), containing a </w:t>
      </w:r>
      <w:r w:rsidRPr="00862C48">
        <w:rPr>
          <w:rFonts w:ascii="Times New Roman" w:hAnsi="Times New Roman" w:cs="Times New Roman"/>
          <w:i/>
          <w:sz w:val="24"/>
          <w:szCs w:val="24"/>
        </w:rPr>
        <w:t>yA</w:t>
      </w:r>
      <w:r w:rsidRPr="00862C48">
        <w:rPr>
          <w:rFonts w:ascii="Times New Roman" w:hAnsi="Times New Roman" w:cs="Times New Roman"/>
          <w:sz w:val="24"/>
          <w:szCs w:val="24"/>
        </w:rPr>
        <w:t xml:space="preserve"> specific protospacer embedded between to </w:t>
      </w:r>
      <w:r w:rsidR="00E64089" w:rsidRPr="00862C48">
        <w:rPr>
          <w:rFonts w:ascii="Times New Roman" w:hAnsi="Times New Roman" w:cs="Times New Roman"/>
          <w:sz w:val="24"/>
          <w:szCs w:val="24"/>
        </w:rPr>
        <w:t>ribozymes</w:t>
      </w:r>
      <w:r w:rsidR="00A43490" w:rsidRPr="00862C48">
        <w:rPr>
          <w:rFonts w:ascii="Times New Roman" w:hAnsi="Times New Roman" w:cs="Times New Roman"/>
          <w:sz w:val="24"/>
          <w:szCs w:val="24"/>
        </w:rPr>
        <w:fldChar w:fldCharType="begin" w:fldLock="1"/>
      </w:r>
      <w:r w:rsidR="006054A4">
        <w:rPr>
          <w:rFonts w:ascii="Times New Roman" w:hAnsi="Times New Roman" w:cs="Times New Roman"/>
          <w:sz w:val="24"/>
          <w:szCs w:val="24"/>
        </w:rPr>
        <w:instrText>ADDIN CSL_CITATION { "citationItems" : [ { "id" : "ITEM-1", "itemData" : { "DOI" : "10.1111/jipb.12152", "ISBN" : "1744-7909", "ISSN" : "17447909", "PMID" : "24373158", "abstract" : "CRISPR/Cas9 uses a guide RNA (gRNA) molecule to execute sequence-specific DNA cleavage and it has been widely used for genome editing in many organisms. Modifications at either end of the gRNAs often render Cas9/gRNA inactive. So far, production of gRNA in vivo has only been achieved by using the U6 and U3 snRNA promoters. However, the U6 and U3 promoters have major limitations such as a lack of cell specificity and unsuitability for in vitro transcription. Here, we present a versatile method for efficiently producing gRNAs both in vitro and in vivo. We design an artificial gene named RGR that, once transcribed, generates an RNA molecule with ribozyme sequences at both ends of the designed gRNA. We show that the primary transcripts of RGR undergo self-catalyzed cleavage to generate the desired gRNA, which can efficiently guide sequence-specific cleavage of DNA targets both in vitro and in yeast. RGR can be transcribed from any promoters and thus allows for cell- and tissue-specific genome editing if appropriate promoters are chosen. Detecting mutations generated by CRISPR is often achieved by enzyme digestions, which are not very compatible with high-throughput analysis. Our system allows for the use of universal primers to produce any gRNAs in vitro, which can then be used with Cas9 protein to detect mutations caused by the gRNAs/CRISPR. In conclusion, we provide a versatile method for generating targeted mutations in specific cells and tissues, and for efficiently detecting the mutations generated.", "author" : [ { "dropping-particle" : "", "family" : "Gao", "given" : "Yangbin", "non-dropping-particle" : "", "parse-names" : false, "suffix" : "" }, { "dropping-particle" : "", "family" : "Zhao", "given" : "Yunde", "non-dropping-particle" : "", "parse-names" : false, "suffix" : "" } ], "container-title" : "Journal of Integrative Plant Biology", "id" : "ITEM-1", "issue" : "4", "issued" : { "date-parts" : [ [ "2014", "4" ] ] }, "page" : "343-349", "title" : "Self-processing of ribozyme-flanked RNAs into guide RNAs in vitro and in vivo for CRISPR-mediated genome editing", "type" : "article-journal", "volume" : "56" }, "uris" : [ "http://www.mendeley.com/documents/?uuid=9e244f4d-6a60-49bb-918c-bdddbaa9626e" ] } ], "mendeley" : { "formattedCitation" : "[3]", "plainTextFormattedCitation" : "[3]", "previouslyFormattedCitation" : "(3)" }, "properties" : { "noteIndex" : 0 }, "schema" : "https://github.com/citation-style-language/schema/raw/master/csl-citation.json" }</w:instrText>
      </w:r>
      <w:r w:rsidR="00A43490" w:rsidRPr="00862C48">
        <w:rPr>
          <w:rFonts w:ascii="Times New Roman" w:hAnsi="Times New Roman" w:cs="Times New Roman"/>
          <w:sz w:val="24"/>
          <w:szCs w:val="24"/>
        </w:rPr>
        <w:fldChar w:fldCharType="separate"/>
      </w:r>
      <w:r w:rsidR="006054A4" w:rsidRPr="006054A4">
        <w:rPr>
          <w:rFonts w:ascii="Times New Roman" w:hAnsi="Times New Roman" w:cs="Times New Roman"/>
          <w:noProof/>
          <w:sz w:val="24"/>
          <w:szCs w:val="24"/>
        </w:rPr>
        <w:t>[3]</w:t>
      </w:r>
      <w:r w:rsidR="00A43490" w:rsidRPr="00862C48">
        <w:rPr>
          <w:rFonts w:ascii="Times New Roman" w:hAnsi="Times New Roman" w:cs="Times New Roman"/>
          <w:sz w:val="24"/>
          <w:szCs w:val="24"/>
        </w:rPr>
        <w:fldChar w:fldCharType="end"/>
      </w:r>
      <w:r w:rsidRPr="00862C48">
        <w:rPr>
          <w:rFonts w:ascii="Times New Roman" w:hAnsi="Times New Roman" w:cs="Times New Roman"/>
          <w:sz w:val="24"/>
          <w:szCs w:val="24"/>
        </w:rPr>
        <w:t xml:space="preserve">, flanked by the </w:t>
      </w:r>
      <w:r w:rsidRPr="00862C48">
        <w:rPr>
          <w:rFonts w:ascii="Times New Roman" w:hAnsi="Times New Roman" w:cs="Times New Roman"/>
          <w:i/>
          <w:sz w:val="24"/>
          <w:szCs w:val="24"/>
        </w:rPr>
        <w:t xml:space="preserve">A. </w:t>
      </w:r>
      <w:proofErr w:type="spellStart"/>
      <w:r w:rsidRPr="00862C48">
        <w:rPr>
          <w:rFonts w:ascii="Times New Roman" w:hAnsi="Times New Roman" w:cs="Times New Roman"/>
          <w:i/>
          <w:sz w:val="24"/>
          <w:szCs w:val="24"/>
        </w:rPr>
        <w:t>nidulans</w:t>
      </w:r>
      <w:proofErr w:type="spellEnd"/>
      <w:r w:rsidRPr="00862C48">
        <w:rPr>
          <w:rFonts w:ascii="Times New Roman" w:hAnsi="Times New Roman" w:cs="Times New Roman"/>
          <w:i/>
          <w:sz w:val="24"/>
          <w:szCs w:val="24"/>
        </w:rPr>
        <w:t xml:space="preserve"> </w:t>
      </w:r>
      <w:proofErr w:type="spellStart"/>
      <w:r w:rsidRPr="00862C48">
        <w:rPr>
          <w:rFonts w:ascii="Times New Roman" w:hAnsi="Times New Roman" w:cs="Times New Roman"/>
          <w:i/>
          <w:sz w:val="24"/>
          <w:szCs w:val="24"/>
        </w:rPr>
        <w:t>gpdA</w:t>
      </w:r>
      <w:proofErr w:type="spellEnd"/>
      <w:r w:rsidRPr="00862C48">
        <w:rPr>
          <w:rFonts w:ascii="Times New Roman" w:hAnsi="Times New Roman" w:cs="Times New Roman"/>
          <w:sz w:val="24"/>
          <w:szCs w:val="24"/>
        </w:rPr>
        <w:t xml:space="preserve"> promoter and </w:t>
      </w:r>
      <w:proofErr w:type="spellStart"/>
      <w:r w:rsidRPr="00862C48">
        <w:rPr>
          <w:rFonts w:ascii="Times New Roman" w:hAnsi="Times New Roman" w:cs="Times New Roman"/>
          <w:i/>
          <w:sz w:val="24"/>
          <w:szCs w:val="24"/>
        </w:rPr>
        <w:t>trpC</w:t>
      </w:r>
      <w:proofErr w:type="spellEnd"/>
      <w:r w:rsidRPr="00862C48">
        <w:rPr>
          <w:rFonts w:ascii="Times New Roman" w:hAnsi="Times New Roman" w:cs="Times New Roman"/>
          <w:sz w:val="24"/>
          <w:szCs w:val="24"/>
        </w:rPr>
        <w:t xml:space="preserve"> terminator, </w:t>
      </w:r>
      <w:proofErr w:type="spellStart"/>
      <w:r w:rsidRPr="00862C48">
        <w:rPr>
          <w:rFonts w:ascii="Times New Roman" w:hAnsi="Times New Roman" w:cs="Times New Roman"/>
          <w:i/>
          <w:sz w:val="24"/>
          <w:szCs w:val="24"/>
        </w:rPr>
        <w:t>PgpdA</w:t>
      </w:r>
      <w:proofErr w:type="spellEnd"/>
      <w:r w:rsidRPr="00862C48">
        <w:rPr>
          <w:rFonts w:ascii="Times New Roman" w:hAnsi="Times New Roman" w:cs="Times New Roman"/>
          <w:i/>
          <w:sz w:val="24"/>
          <w:szCs w:val="24"/>
        </w:rPr>
        <w:t xml:space="preserve"> </w:t>
      </w:r>
      <w:r w:rsidRPr="00862C48">
        <w:rPr>
          <w:rFonts w:ascii="Times New Roman" w:hAnsi="Times New Roman" w:cs="Times New Roman"/>
          <w:sz w:val="24"/>
          <w:szCs w:val="24"/>
        </w:rPr>
        <w:t xml:space="preserve">and </w:t>
      </w:r>
      <w:proofErr w:type="spellStart"/>
      <w:r w:rsidRPr="00862C48">
        <w:rPr>
          <w:rFonts w:ascii="Times New Roman" w:hAnsi="Times New Roman" w:cs="Times New Roman"/>
          <w:i/>
          <w:sz w:val="24"/>
          <w:szCs w:val="24"/>
        </w:rPr>
        <w:t>TtrpC</w:t>
      </w:r>
      <w:proofErr w:type="spellEnd"/>
      <w:r w:rsidRPr="00862C48">
        <w:rPr>
          <w:rFonts w:ascii="Times New Roman" w:hAnsi="Times New Roman" w:cs="Times New Roman"/>
          <w:sz w:val="24"/>
          <w:szCs w:val="24"/>
        </w:rPr>
        <w:t>, was amplified with the primers CSN389+CSN390 and cloned into p</w:t>
      </w:r>
      <w:r w:rsidR="00182625">
        <w:rPr>
          <w:rFonts w:ascii="Times New Roman" w:hAnsi="Times New Roman" w:cs="Times New Roman"/>
          <w:sz w:val="24"/>
          <w:szCs w:val="24"/>
        </w:rPr>
        <w:t>F</w:t>
      </w:r>
      <w:r w:rsidRPr="00862C48">
        <w:rPr>
          <w:rFonts w:ascii="Times New Roman" w:hAnsi="Times New Roman" w:cs="Times New Roman"/>
          <w:sz w:val="24"/>
          <w:szCs w:val="24"/>
        </w:rPr>
        <w:t xml:space="preserve">C331 by the </w:t>
      </w:r>
      <w:proofErr w:type="spellStart"/>
      <w:r w:rsidRPr="00862C48">
        <w:rPr>
          <w:rFonts w:ascii="Times New Roman" w:hAnsi="Times New Roman" w:cs="Times New Roman"/>
          <w:sz w:val="24"/>
          <w:szCs w:val="24"/>
        </w:rPr>
        <w:t>PacI</w:t>
      </w:r>
      <w:proofErr w:type="spellEnd"/>
      <w:r w:rsidRPr="00862C48">
        <w:rPr>
          <w:rFonts w:ascii="Times New Roman" w:hAnsi="Times New Roman" w:cs="Times New Roman"/>
          <w:sz w:val="24"/>
          <w:szCs w:val="24"/>
        </w:rPr>
        <w:t>/</w:t>
      </w:r>
      <w:proofErr w:type="spellStart"/>
      <w:r w:rsidRPr="00862C48">
        <w:rPr>
          <w:rFonts w:ascii="Times New Roman" w:hAnsi="Times New Roman" w:cs="Times New Roman"/>
          <w:sz w:val="24"/>
          <w:szCs w:val="24"/>
        </w:rPr>
        <w:t>Nt.BbvCI</w:t>
      </w:r>
      <w:proofErr w:type="spellEnd"/>
      <w:r w:rsidRPr="00862C48">
        <w:rPr>
          <w:rFonts w:ascii="Times New Roman" w:hAnsi="Times New Roman" w:cs="Times New Roman"/>
          <w:sz w:val="24"/>
          <w:szCs w:val="24"/>
        </w:rPr>
        <w:t xml:space="preserve"> USER cassette to give </w:t>
      </w:r>
      <w:r w:rsidR="00AF6A57" w:rsidRPr="00862C48">
        <w:rPr>
          <w:rFonts w:ascii="Times New Roman" w:hAnsi="Times New Roman" w:cs="Times New Roman"/>
          <w:sz w:val="24"/>
          <w:szCs w:val="24"/>
        </w:rPr>
        <w:t>pF</w:t>
      </w:r>
      <w:r w:rsidR="001443DF" w:rsidRPr="00862C48">
        <w:rPr>
          <w:rFonts w:ascii="Times New Roman" w:hAnsi="Times New Roman" w:cs="Times New Roman"/>
          <w:sz w:val="24"/>
          <w:szCs w:val="24"/>
        </w:rPr>
        <w:t>C334</w:t>
      </w:r>
      <w:r w:rsidRPr="00862C48">
        <w:rPr>
          <w:rFonts w:ascii="Times New Roman" w:hAnsi="Times New Roman" w:cs="Times New Roman"/>
          <w:sz w:val="24"/>
          <w:szCs w:val="24"/>
        </w:rPr>
        <w:t>. Insertion was verified</w:t>
      </w:r>
      <w:r w:rsidR="00C04099" w:rsidRPr="00862C48">
        <w:rPr>
          <w:rFonts w:ascii="Times New Roman" w:hAnsi="Times New Roman" w:cs="Times New Roman"/>
          <w:sz w:val="24"/>
          <w:szCs w:val="24"/>
        </w:rPr>
        <w:t xml:space="preserve"> by </w:t>
      </w:r>
      <w:proofErr w:type="spellStart"/>
      <w:r w:rsidR="00C04099" w:rsidRPr="00862C48">
        <w:rPr>
          <w:rFonts w:ascii="Times New Roman" w:hAnsi="Times New Roman" w:cs="Times New Roman"/>
          <w:sz w:val="24"/>
          <w:szCs w:val="24"/>
        </w:rPr>
        <w:t>AscI</w:t>
      </w:r>
      <w:proofErr w:type="spellEnd"/>
      <w:r w:rsidR="00C04099" w:rsidRPr="00862C48">
        <w:rPr>
          <w:rFonts w:ascii="Times New Roman" w:hAnsi="Times New Roman" w:cs="Times New Roman"/>
          <w:sz w:val="24"/>
          <w:szCs w:val="24"/>
        </w:rPr>
        <w:t>/</w:t>
      </w:r>
      <w:proofErr w:type="spellStart"/>
      <w:r w:rsidR="00C04099" w:rsidRPr="00862C48">
        <w:rPr>
          <w:rFonts w:ascii="Times New Roman" w:hAnsi="Times New Roman" w:cs="Times New Roman"/>
          <w:sz w:val="24"/>
          <w:szCs w:val="24"/>
        </w:rPr>
        <w:t>SmaI</w:t>
      </w:r>
      <w:proofErr w:type="spellEnd"/>
      <w:r w:rsidR="00C04099" w:rsidRPr="00862C48">
        <w:rPr>
          <w:rFonts w:ascii="Times New Roman" w:hAnsi="Times New Roman" w:cs="Times New Roman"/>
          <w:sz w:val="24"/>
          <w:szCs w:val="24"/>
        </w:rPr>
        <w:t xml:space="preserve"> double digest (New England </w:t>
      </w:r>
      <w:proofErr w:type="spellStart"/>
      <w:r w:rsidR="00C04099" w:rsidRPr="00862C48">
        <w:rPr>
          <w:rFonts w:ascii="Times New Roman" w:hAnsi="Times New Roman" w:cs="Times New Roman"/>
          <w:sz w:val="24"/>
          <w:szCs w:val="24"/>
        </w:rPr>
        <w:t>Biolabs</w:t>
      </w:r>
      <w:proofErr w:type="spellEnd"/>
      <w:r w:rsidR="00C04099" w:rsidRPr="00862C48">
        <w:rPr>
          <w:rFonts w:ascii="Times New Roman" w:hAnsi="Times New Roman" w:cs="Times New Roman"/>
          <w:sz w:val="24"/>
          <w:szCs w:val="24"/>
        </w:rPr>
        <w:t>, USA</w:t>
      </w:r>
      <w:r w:rsidRPr="00862C48">
        <w:rPr>
          <w:rFonts w:ascii="Times New Roman" w:hAnsi="Times New Roman" w:cs="Times New Roman"/>
          <w:sz w:val="24"/>
          <w:szCs w:val="24"/>
        </w:rPr>
        <w:t>). To e</w:t>
      </w:r>
      <w:r w:rsidR="00AF6A57" w:rsidRPr="00862C48">
        <w:rPr>
          <w:rFonts w:ascii="Times New Roman" w:hAnsi="Times New Roman" w:cs="Times New Roman"/>
          <w:sz w:val="24"/>
          <w:szCs w:val="24"/>
        </w:rPr>
        <w:t>xchange the protospacer, pFC334</w:t>
      </w:r>
      <w:r w:rsidRPr="00862C48">
        <w:rPr>
          <w:rFonts w:ascii="Times New Roman" w:hAnsi="Times New Roman" w:cs="Times New Roman"/>
          <w:sz w:val="24"/>
          <w:szCs w:val="24"/>
        </w:rPr>
        <w:t xml:space="preserve"> </w:t>
      </w:r>
      <w:proofErr w:type="gramStart"/>
      <w:r w:rsidRPr="00862C48">
        <w:rPr>
          <w:rFonts w:ascii="Times New Roman" w:hAnsi="Times New Roman" w:cs="Times New Roman"/>
          <w:sz w:val="24"/>
          <w:szCs w:val="24"/>
        </w:rPr>
        <w:t>was used</w:t>
      </w:r>
      <w:proofErr w:type="gramEnd"/>
      <w:r w:rsidRPr="00862C48">
        <w:rPr>
          <w:rFonts w:ascii="Times New Roman" w:hAnsi="Times New Roman" w:cs="Times New Roman"/>
          <w:sz w:val="24"/>
          <w:szCs w:val="24"/>
        </w:rPr>
        <w:t xml:space="preserve"> as template for two PCR fragments, with the variable regions being exchanged and assembled by the primer tails (see figure </w:t>
      </w:r>
      <w:r w:rsidR="003A3EEA">
        <w:rPr>
          <w:rFonts w:ascii="Times New Roman" w:hAnsi="Times New Roman" w:cs="Times New Roman"/>
          <w:sz w:val="24"/>
          <w:szCs w:val="24"/>
        </w:rPr>
        <w:t>2</w:t>
      </w:r>
      <w:r w:rsidRPr="00862C48">
        <w:rPr>
          <w:rFonts w:ascii="Times New Roman" w:hAnsi="Times New Roman" w:cs="Times New Roman"/>
          <w:sz w:val="24"/>
          <w:szCs w:val="24"/>
        </w:rPr>
        <w:t xml:space="preserve"> for details).</w:t>
      </w:r>
      <w:r w:rsidR="00C04099" w:rsidRPr="00862C48">
        <w:rPr>
          <w:rFonts w:ascii="Times New Roman" w:hAnsi="Times New Roman" w:cs="Times New Roman"/>
          <w:sz w:val="24"/>
          <w:szCs w:val="24"/>
        </w:rPr>
        <w:t xml:space="preserve"> Vectors were prepared for cloning by </w:t>
      </w:r>
      <w:proofErr w:type="spellStart"/>
      <w:r w:rsidR="00C04099" w:rsidRPr="00862C48">
        <w:rPr>
          <w:rFonts w:ascii="Times New Roman" w:hAnsi="Times New Roman" w:cs="Times New Roman"/>
          <w:sz w:val="24"/>
          <w:szCs w:val="24"/>
        </w:rPr>
        <w:t>PacI</w:t>
      </w:r>
      <w:proofErr w:type="spellEnd"/>
      <w:r w:rsidR="00C04099" w:rsidRPr="00862C48">
        <w:rPr>
          <w:rFonts w:ascii="Times New Roman" w:hAnsi="Times New Roman" w:cs="Times New Roman"/>
          <w:sz w:val="24"/>
          <w:szCs w:val="24"/>
        </w:rPr>
        <w:t xml:space="preserve"> and </w:t>
      </w:r>
      <w:proofErr w:type="spellStart"/>
      <w:r w:rsidR="00C04099" w:rsidRPr="00862C48">
        <w:rPr>
          <w:rFonts w:ascii="Times New Roman" w:hAnsi="Times New Roman" w:cs="Times New Roman"/>
          <w:sz w:val="24"/>
          <w:szCs w:val="24"/>
        </w:rPr>
        <w:t>Nt.BbvC</w:t>
      </w:r>
      <w:r w:rsidR="006A2795" w:rsidRPr="00862C48">
        <w:rPr>
          <w:rFonts w:ascii="Times New Roman" w:hAnsi="Times New Roman" w:cs="Times New Roman"/>
          <w:sz w:val="24"/>
          <w:szCs w:val="24"/>
        </w:rPr>
        <w:t>I</w:t>
      </w:r>
      <w:proofErr w:type="spellEnd"/>
      <w:r w:rsidR="006A2795" w:rsidRPr="00862C48">
        <w:rPr>
          <w:rFonts w:ascii="Times New Roman" w:hAnsi="Times New Roman" w:cs="Times New Roman"/>
          <w:sz w:val="24"/>
          <w:szCs w:val="24"/>
        </w:rPr>
        <w:t xml:space="preserve"> digestion </w:t>
      </w:r>
      <w:r w:rsidR="006A2795" w:rsidRPr="00862C48">
        <w:rPr>
          <w:rFonts w:ascii="Times New Roman" w:hAnsi="Times New Roman" w:cs="Times New Roman"/>
          <w:sz w:val="24"/>
          <w:szCs w:val="24"/>
        </w:rPr>
        <w:fldChar w:fldCharType="begin" w:fldLock="1"/>
      </w:r>
      <w:r w:rsidR="006054A4">
        <w:rPr>
          <w:rFonts w:ascii="Times New Roman" w:hAnsi="Times New Roman" w:cs="Times New Roman"/>
          <w:sz w:val="24"/>
          <w:szCs w:val="24"/>
        </w:rPr>
        <w:instrText>ADDIN CSL_CITATION { "citationItems" : [ { "id" : "ITEM-1", "itemData" : { "DOI" : "10.1128/AEM.01768-10", "ISBN" : "1098-5336 (Electronic)\\r0099-2240 (Linking)", "ISSN" : "00992240", "PMID" : "21398493", "abstract" : "Assigning functions to newly discovered genes constitutes one of the major challenges en route to fully exploiting the data becoming available from the genome sequencing initiatives. Heterologous expression in an appropriate host is central in functional genomics studies. In this context, filamentous fungi offer many advantages over bacterial and yeast systems. To facilitate the use of filamentous fungi in functional genomics, we present a versatile cloning system that allows a gene of interest to be expressed from a defined genomic location of Aspergillus nidulans. By a single USER cloning step, genes are easily inserted into a combined targeting-expression cassette ready for rapid integration and analysis. The system comprises a vector set that allows genes to be expressed either from the constitutive PgpdA promoter or from the inducible PalcA promoter. Moreover, by using the vector set, protein variants can easily be made and expressed from the same locus, which is mandatory for proper comparative analyses. Lastly, all individual elements of the vectors can easily be substituted for other similar elements, ensuring the flexibility of the system. We have demonstrated the potential of the system by transferring the 7,745-bp large mpaC gene from Penicillium brevicompactum to A. nidulans. In parallel, we produced defined mutant derivatives of mpaC, and the combined analysis of A. nidulans strains expressing mpaC or mutated mpaC genes unequivocally demonstrated that mpaC indeed encodes a polyketide synthase that produces the first intermediate in the production of the medically important immunosuppressant mycophenolic acid.", "author" : [ { "dropping-particle" : "", "family" : "Hansen", "given" : "Bjarne G.", "non-dropping-particle" : "", "parse-names" : false, "suffix" : "" }, { "dropping-particle" : "", "family" : "Salomonsen", "given" : "Bo", "non-dropping-particle" : "", "parse-names" : false, "suffix" : "" }, { "dropping-particle" : "", "family" : "Nielsen", "given" : "Morten T.", "non-dropping-particle" : "", "parse-names" : false, "suffix" : "" }, { "dropping-particle" : "", "family" : "Nielsen", "given" : "Jakob B.", "non-dropping-particle" : "", "parse-names" : false, "suffix" : "" }, { "dropping-particle" : "", "family" : "Hansen", "given" : "Niels B", "non-dropping-particle" : "", "parse-names" : false, "suffix" : "" }, { "dropping-particle" : "", "family" : "Nielsen", "given" : "Kristian F.", "non-dropping-particle" : "", "parse-names" : false, "suffix" : "" }, { "dropping-particle" : "", "family" : "Regueira", "given" : "Torsten B", "non-dropping-particle" : "", "parse-names" : false, "suffix" : "" }, { "dropping-particle" : "", "family" : "Nielsen", "given" : "Jens", "non-dropping-particle" : "", "parse-names" : false, "suffix" : "" }, { "dropping-particle" : "", "family" : "Patil", "given" : "Kiran R", "non-dropping-particle" : "", "parse-names" : false, "suffix" : "" }, { "dropping-particle" : "", "family" : "Mortensen", "given" : "Uffe H", "non-dropping-particle" : "", "parse-names" : false, "suffix" : "" } ], "container-title" : "Applied and Environmental Microbiology", "id" : "ITEM-1", "issue" : "9", "issued" : { "date-parts" : [ [ "2011", "5" ] ] }, "page" : "3044-3051", "title" : "Versatile enzyme expression and characterization system for Aspergillus nidulans, with the Penicillium brevicompactum polyketide synthase gene from the mycophenolic acid gene cluster as a test case", "type" : "article-journal", "volume" : "77" }, "uris" : [ "http://www.mendeley.com/documents/?uuid=74de042f-023d-480d-9796-1197604640a2" ] } ], "mendeley" : { "formattedCitation" : "[1]", "plainTextFormattedCitation" : "[1]", "previouslyFormattedCitation" : "(1)" }, "properties" : { "noteIndex" : 0 }, "schema" : "https://github.com/citation-style-language/schema/raw/master/csl-citation.json" }</w:instrText>
      </w:r>
      <w:r w:rsidR="006A2795" w:rsidRPr="00862C48">
        <w:rPr>
          <w:rFonts w:ascii="Times New Roman" w:hAnsi="Times New Roman" w:cs="Times New Roman"/>
          <w:sz w:val="24"/>
          <w:szCs w:val="24"/>
        </w:rPr>
        <w:fldChar w:fldCharType="separate"/>
      </w:r>
      <w:r w:rsidR="006054A4" w:rsidRPr="006054A4">
        <w:rPr>
          <w:rFonts w:ascii="Times New Roman" w:hAnsi="Times New Roman" w:cs="Times New Roman"/>
          <w:noProof/>
          <w:sz w:val="24"/>
          <w:szCs w:val="24"/>
        </w:rPr>
        <w:t>[1]</w:t>
      </w:r>
      <w:r w:rsidR="006A2795" w:rsidRPr="00862C48">
        <w:rPr>
          <w:rFonts w:ascii="Times New Roman" w:hAnsi="Times New Roman" w:cs="Times New Roman"/>
          <w:sz w:val="24"/>
          <w:szCs w:val="24"/>
        </w:rPr>
        <w:fldChar w:fldCharType="end"/>
      </w:r>
      <w:r w:rsidR="006A2795" w:rsidRPr="00862C48">
        <w:rPr>
          <w:rFonts w:ascii="Times New Roman" w:hAnsi="Times New Roman" w:cs="Times New Roman"/>
          <w:sz w:val="24"/>
          <w:szCs w:val="24"/>
        </w:rPr>
        <w:t>.</w:t>
      </w:r>
      <w:r w:rsidRPr="00862C48">
        <w:rPr>
          <w:rFonts w:ascii="Times New Roman" w:hAnsi="Times New Roman" w:cs="Times New Roman"/>
          <w:sz w:val="24"/>
          <w:szCs w:val="24"/>
        </w:rPr>
        <w:t xml:space="preserve"> For the </w:t>
      </w:r>
      <w:proofErr w:type="spellStart"/>
      <w:r w:rsidRPr="00862C48">
        <w:rPr>
          <w:rFonts w:ascii="Times New Roman" w:hAnsi="Times New Roman" w:cs="Times New Roman"/>
          <w:i/>
          <w:sz w:val="24"/>
          <w:szCs w:val="24"/>
        </w:rPr>
        <w:t>ACU</w:t>
      </w:r>
      <w:r w:rsidR="0090091B" w:rsidRPr="00862C48">
        <w:rPr>
          <w:rFonts w:ascii="Times New Roman" w:hAnsi="Times New Roman" w:cs="Times New Roman"/>
          <w:i/>
          <w:sz w:val="24"/>
          <w:szCs w:val="24"/>
        </w:rPr>
        <w:t>_</w:t>
      </w:r>
      <w:r w:rsidRPr="00862C48">
        <w:rPr>
          <w:rFonts w:ascii="Times New Roman" w:hAnsi="Times New Roman" w:cs="Times New Roman"/>
          <w:i/>
          <w:sz w:val="24"/>
          <w:szCs w:val="24"/>
        </w:rPr>
        <w:t>albA</w:t>
      </w:r>
      <w:proofErr w:type="spellEnd"/>
      <w:r w:rsidRPr="00862C48">
        <w:rPr>
          <w:rFonts w:ascii="Times New Roman" w:hAnsi="Times New Roman" w:cs="Times New Roman"/>
          <w:sz w:val="24"/>
          <w:szCs w:val="24"/>
        </w:rPr>
        <w:t xml:space="preserve"> </w:t>
      </w:r>
      <w:proofErr w:type="spellStart"/>
      <w:r w:rsidRPr="00862C48">
        <w:rPr>
          <w:rFonts w:ascii="Times New Roman" w:hAnsi="Times New Roman" w:cs="Times New Roman"/>
          <w:sz w:val="24"/>
          <w:szCs w:val="24"/>
        </w:rPr>
        <w:t>protospacer</w:t>
      </w:r>
      <w:proofErr w:type="spellEnd"/>
      <w:r w:rsidRPr="00862C48">
        <w:rPr>
          <w:rFonts w:ascii="Times New Roman" w:hAnsi="Times New Roman" w:cs="Times New Roman"/>
          <w:sz w:val="24"/>
          <w:szCs w:val="24"/>
        </w:rPr>
        <w:t xml:space="preserve"> primers CSN389+CSN414 and CSN416+CSN390 were used</w:t>
      </w:r>
      <w:r w:rsidR="00AF6A57" w:rsidRPr="00862C48">
        <w:rPr>
          <w:rFonts w:ascii="Times New Roman" w:hAnsi="Times New Roman" w:cs="Times New Roman"/>
          <w:sz w:val="24"/>
          <w:szCs w:val="24"/>
        </w:rPr>
        <w:t xml:space="preserve"> to generate pFC335</w:t>
      </w:r>
      <w:r w:rsidRPr="00862C48">
        <w:rPr>
          <w:rFonts w:ascii="Times New Roman" w:hAnsi="Times New Roman" w:cs="Times New Roman"/>
          <w:sz w:val="24"/>
          <w:szCs w:val="24"/>
        </w:rPr>
        <w:t xml:space="preserve">.  For </w:t>
      </w:r>
      <w:proofErr w:type="gramStart"/>
      <w:r w:rsidRPr="00862C48">
        <w:rPr>
          <w:rFonts w:ascii="Times New Roman" w:hAnsi="Times New Roman" w:cs="Times New Roman"/>
          <w:sz w:val="24"/>
          <w:szCs w:val="24"/>
        </w:rPr>
        <w:t>multispecies</w:t>
      </w:r>
      <w:proofErr w:type="gramEnd"/>
      <w:r w:rsidRPr="00862C48">
        <w:rPr>
          <w:rFonts w:ascii="Times New Roman" w:hAnsi="Times New Roman" w:cs="Times New Roman"/>
          <w:sz w:val="24"/>
          <w:szCs w:val="24"/>
        </w:rPr>
        <w:t xml:space="preserve"> </w:t>
      </w:r>
      <w:r w:rsidRPr="00862C48">
        <w:rPr>
          <w:rFonts w:ascii="Times New Roman" w:hAnsi="Times New Roman" w:cs="Times New Roman"/>
          <w:i/>
          <w:sz w:val="24"/>
          <w:szCs w:val="24"/>
        </w:rPr>
        <w:t>albA</w:t>
      </w:r>
      <w:r w:rsidRPr="00862C48">
        <w:rPr>
          <w:rFonts w:ascii="Times New Roman" w:hAnsi="Times New Roman" w:cs="Times New Roman"/>
          <w:sz w:val="24"/>
          <w:szCs w:val="24"/>
        </w:rPr>
        <w:t xml:space="preserve"> primes CSN389+CSN421 and CSN422+CSN390 were used</w:t>
      </w:r>
      <w:r w:rsidR="00AF6A57" w:rsidRPr="00862C48">
        <w:rPr>
          <w:rFonts w:ascii="Times New Roman" w:hAnsi="Times New Roman" w:cs="Times New Roman"/>
          <w:sz w:val="24"/>
          <w:szCs w:val="24"/>
        </w:rPr>
        <w:t xml:space="preserve"> to construct </w:t>
      </w:r>
      <w:r w:rsidR="001C6836" w:rsidRPr="00862C48">
        <w:rPr>
          <w:rFonts w:ascii="Times New Roman" w:hAnsi="Times New Roman" w:cs="Times New Roman"/>
          <w:sz w:val="24"/>
          <w:szCs w:val="24"/>
        </w:rPr>
        <w:t>pFC336</w:t>
      </w:r>
      <w:r w:rsidRPr="00862C48">
        <w:rPr>
          <w:rFonts w:ascii="Times New Roman" w:hAnsi="Times New Roman" w:cs="Times New Roman"/>
          <w:sz w:val="24"/>
          <w:szCs w:val="24"/>
        </w:rPr>
        <w:t xml:space="preserve">. For </w:t>
      </w:r>
      <w:proofErr w:type="spellStart"/>
      <w:r w:rsidRPr="00862C48">
        <w:rPr>
          <w:rFonts w:ascii="Times New Roman" w:hAnsi="Times New Roman" w:cs="Times New Roman"/>
          <w:i/>
          <w:sz w:val="24"/>
          <w:szCs w:val="24"/>
        </w:rPr>
        <w:t>ACU</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pyrG</w:t>
      </w:r>
      <w:proofErr w:type="spellEnd"/>
      <w:r w:rsidRPr="00862C48">
        <w:rPr>
          <w:rFonts w:ascii="Times New Roman" w:hAnsi="Times New Roman" w:cs="Times New Roman"/>
          <w:sz w:val="24"/>
          <w:szCs w:val="24"/>
        </w:rPr>
        <w:t xml:space="preserve"> </w:t>
      </w:r>
      <w:proofErr w:type="spellStart"/>
      <w:r w:rsidRPr="00862C48">
        <w:rPr>
          <w:rFonts w:ascii="Times New Roman" w:hAnsi="Times New Roman" w:cs="Times New Roman"/>
          <w:sz w:val="24"/>
          <w:szCs w:val="24"/>
        </w:rPr>
        <w:t>sgRNA</w:t>
      </w:r>
      <w:proofErr w:type="spellEnd"/>
      <w:r w:rsidRPr="00862C48">
        <w:rPr>
          <w:rFonts w:ascii="Times New Roman" w:hAnsi="Times New Roman" w:cs="Times New Roman"/>
          <w:sz w:val="24"/>
          <w:szCs w:val="24"/>
        </w:rPr>
        <w:t xml:space="preserve"> primers CSN389+CSN444 and CSN445+CSN390 were used</w:t>
      </w:r>
      <w:r w:rsidR="001C6836" w:rsidRPr="00862C48">
        <w:rPr>
          <w:rFonts w:ascii="Times New Roman" w:hAnsi="Times New Roman" w:cs="Times New Roman"/>
          <w:sz w:val="24"/>
          <w:szCs w:val="24"/>
        </w:rPr>
        <w:t xml:space="preserve"> to make pFC337</w:t>
      </w:r>
      <w:r w:rsidRPr="00862C48">
        <w:rPr>
          <w:rFonts w:ascii="Times New Roman" w:hAnsi="Times New Roman" w:cs="Times New Roman"/>
          <w:sz w:val="24"/>
          <w:szCs w:val="24"/>
        </w:rPr>
        <w:t xml:space="preserve">. For </w:t>
      </w:r>
      <w:proofErr w:type="spellStart"/>
      <w:r w:rsidRPr="00862C48">
        <w:rPr>
          <w:rFonts w:ascii="Times New Roman" w:hAnsi="Times New Roman" w:cs="Times New Roman"/>
          <w:i/>
          <w:sz w:val="24"/>
          <w:szCs w:val="24"/>
        </w:rPr>
        <w:t>ACU</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akuA</w:t>
      </w:r>
      <w:proofErr w:type="spellEnd"/>
      <w:r w:rsidRPr="00862C48">
        <w:rPr>
          <w:rFonts w:ascii="Times New Roman" w:hAnsi="Times New Roman" w:cs="Times New Roman"/>
          <w:sz w:val="24"/>
          <w:szCs w:val="24"/>
        </w:rPr>
        <w:t xml:space="preserve"> </w:t>
      </w:r>
      <w:proofErr w:type="spellStart"/>
      <w:r w:rsidRPr="00862C48">
        <w:rPr>
          <w:rFonts w:ascii="Times New Roman" w:hAnsi="Times New Roman" w:cs="Times New Roman"/>
          <w:sz w:val="24"/>
          <w:szCs w:val="24"/>
        </w:rPr>
        <w:t>sgRNA</w:t>
      </w:r>
      <w:proofErr w:type="spellEnd"/>
      <w:r w:rsidRPr="00862C48">
        <w:rPr>
          <w:rFonts w:ascii="Times New Roman" w:hAnsi="Times New Roman" w:cs="Times New Roman"/>
          <w:sz w:val="24"/>
          <w:szCs w:val="24"/>
        </w:rPr>
        <w:t xml:space="preserve"> CSN389+CSN425 and CSN426+CSN390 were used</w:t>
      </w:r>
      <w:r w:rsidR="001C6836" w:rsidRPr="00862C48">
        <w:rPr>
          <w:rFonts w:ascii="Times New Roman" w:hAnsi="Times New Roman" w:cs="Times New Roman"/>
          <w:sz w:val="24"/>
          <w:szCs w:val="24"/>
        </w:rPr>
        <w:t xml:space="preserve"> in the assembly of pFC338</w:t>
      </w:r>
      <w:r w:rsidRPr="00862C48">
        <w:rPr>
          <w:rFonts w:ascii="Times New Roman" w:hAnsi="Times New Roman" w:cs="Times New Roman"/>
          <w:sz w:val="24"/>
          <w:szCs w:val="24"/>
        </w:rPr>
        <w:t>.</w:t>
      </w:r>
    </w:p>
    <w:p w:rsidR="00FB2813" w:rsidRPr="00862C48" w:rsidRDefault="00FB2813" w:rsidP="00FB2813">
      <w:pPr>
        <w:rPr>
          <w:rFonts w:ascii="Times New Roman" w:hAnsi="Times New Roman" w:cs="Times New Roman"/>
          <w:sz w:val="24"/>
          <w:szCs w:val="24"/>
        </w:rPr>
      </w:pPr>
      <w:r w:rsidRPr="00862C48">
        <w:rPr>
          <w:rFonts w:ascii="Times New Roman" w:hAnsi="Times New Roman" w:cs="Times New Roman"/>
          <w:sz w:val="24"/>
          <w:szCs w:val="24"/>
        </w:rPr>
        <w:t xml:space="preserve">For construction of the gene-deletion substrates, a basic vector pU2002c was constructed based on </w:t>
      </w:r>
      <w:r w:rsidRPr="00862C48">
        <w:rPr>
          <w:rFonts w:ascii="Times New Roman" w:hAnsi="Times New Roman" w:cs="Times New Roman"/>
          <w:i/>
          <w:sz w:val="24"/>
          <w:szCs w:val="24"/>
        </w:rPr>
        <w:t>pyrG</w:t>
      </w:r>
      <w:r w:rsidRPr="00862C48">
        <w:rPr>
          <w:rFonts w:ascii="Times New Roman" w:hAnsi="Times New Roman" w:cs="Times New Roman"/>
          <w:sz w:val="24"/>
          <w:szCs w:val="24"/>
        </w:rPr>
        <w:t xml:space="preserve"> including native promoter and terminator flanking </w:t>
      </w:r>
      <w:r w:rsidRPr="00862C48">
        <w:rPr>
          <w:rFonts w:ascii="Times New Roman" w:hAnsi="Times New Roman" w:cs="Times New Roman"/>
          <w:i/>
          <w:sz w:val="24"/>
          <w:szCs w:val="24"/>
        </w:rPr>
        <w:t>pyrG</w:t>
      </w:r>
      <w:r w:rsidRPr="00862C48">
        <w:rPr>
          <w:rFonts w:ascii="Times New Roman" w:hAnsi="Times New Roman" w:cs="Times New Roman"/>
          <w:sz w:val="24"/>
          <w:szCs w:val="24"/>
        </w:rPr>
        <w:t xml:space="preserve"> amplified from </w:t>
      </w:r>
      <w:r w:rsidRPr="00862C48">
        <w:rPr>
          <w:rFonts w:ascii="Times New Roman" w:hAnsi="Times New Roman" w:cs="Times New Roman"/>
          <w:i/>
          <w:sz w:val="24"/>
          <w:szCs w:val="24"/>
        </w:rPr>
        <w:t xml:space="preserve">A. </w:t>
      </w:r>
      <w:proofErr w:type="spellStart"/>
      <w:r w:rsidRPr="00862C48">
        <w:rPr>
          <w:rFonts w:ascii="Times New Roman" w:hAnsi="Times New Roman" w:cs="Times New Roman"/>
          <w:i/>
          <w:sz w:val="24"/>
          <w:szCs w:val="24"/>
        </w:rPr>
        <w:t>flavus</w:t>
      </w:r>
      <w:proofErr w:type="spellEnd"/>
      <w:r w:rsidRPr="00862C48">
        <w:rPr>
          <w:rFonts w:ascii="Times New Roman" w:hAnsi="Times New Roman" w:cs="Times New Roman"/>
          <w:sz w:val="24"/>
          <w:szCs w:val="24"/>
        </w:rPr>
        <w:t xml:space="preserve"> </w:t>
      </w:r>
      <w:proofErr w:type="spellStart"/>
      <w:r w:rsidRPr="00862C48">
        <w:rPr>
          <w:rFonts w:ascii="Times New Roman" w:hAnsi="Times New Roman" w:cs="Times New Roman"/>
          <w:sz w:val="24"/>
          <w:szCs w:val="24"/>
        </w:rPr>
        <w:t>gDNA</w:t>
      </w:r>
      <w:proofErr w:type="spellEnd"/>
      <w:r w:rsidRPr="00862C48">
        <w:rPr>
          <w:rFonts w:ascii="Times New Roman" w:hAnsi="Times New Roman" w:cs="Times New Roman"/>
          <w:sz w:val="24"/>
          <w:szCs w:val="24"/>
        </w:rPr>
        <w:t xml:space="preserve"> with primers CSN207+CSN208. </w:t>
      </w:r>
      <w:proofErr w:type="spellStart"/>
      <w:r w:rsidRPr="00862C48">
        <w:rPr>
          <w:rFonts w:ascii="Times New Roman" w:hAnsi="Times New Roman" w:cs="Times New Roman"/>
          <w:i/>
          <w:sz w:val="24"/>
          <w:szCs w:val="24"/>
        </w:rPr>
        <w:t>AFL</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pyrG</w:t>
      </w:r>
      <w:proofErr w:type="spellEnd"/>
      <w:r w:rsidRPr="00862C48">
        <w:rPr>
          <w:rFonts w:ascii="Times New Roman" w:hAnsi="Times New Roman" w:cs="Times New Roman"/>
          <w:sz w:val="24"/>
          <w:szCs w:val="24"/>
        </w:rPr>
        <w:t xml:space="preserve"> was flanked by a direct repeat (DR) composed of a non-coding </w:t>
      </w:r>
      <w:r w:rsidRPr="00862C48">
        <w:rPr>
          <w:rFonts w:ascii="Times New Roman" w:hAnsi="Times New Roman" w:cs="Times New Roman"/>
          <w:i/>
          <w:sz w:val="24"/>
          <w:szCs w:val="24"/>
        </w:rPr>
        <w:t>S. cerevisiae</w:t>
      </w:r>
      <w:r w:rsidRPr="00862C48">
        <w:rPr>
          <w:rFonts w:ascii="Times New Roman" w:hAnsi="Times New Roman" w:cs="Times New Roman"/>
          <w:sz w:val="24"/>
          <w:szCs w:val="24"/>
        </w:rPr>
        <w:t xml:space="preserve"> CEN.PK </w:t>
      </w:r>
      <w:r w:rsidR="006316DF" w:rsidRPr="00862C48">
        <w:rPr>
          <w:rFonts w:ascii="Times New Roman" w:hAnsi="Times New Roman" w:cs="Times New Roman"/>
          <w:sz w:val="24"/>
          <w:szCs w:val="24"/>
        </w:rPr>
        <w:t>52</w:t>
      </w:r>
      <w:r w:rsidRPr="00862C48">
        <w:rPr>
          <w:rFonts w:ascii="Times New Roman" w:hAnsi="Times New Roman" w:cs="Times New Roman"/>
          <w:sz w:val="24"/>
          <w:szCs w:val="24"/>
        </w:rPr>
        <w:t xml:space="preserve">0 </w:t>
      </w:r>
      <w:proofErr w:type="spellStart"/>
      <w:r w:rsidRPr="00862C48">
        <w:rPr>
          <w:rFonts w:ascii="Times New Roman" w:hAnsi="Times New Roman" w:cs="Times New Roman"/>
          <w:sz w:val="24"/>
          <w:szCs w:val="24"/>
        </w:rPr>
        <w:t>bp</w:t>
      </w:r>
      <w:proofErr w:type="spellEnd"/>
      <w:r w:rsidRPr="00862C48">
        <w:rPr>
          <w:rFonts w:ascii="Times New Roman" w:hAnsi="Times New Roman" w:cs="Times New Roman"/>
          <w:sz w:val="24"/>
          <w:szCs w:val="24"/>
        </w:rPr>
        <w:t xml:space="preserve"> stretch of </w:t>
      </w:r>
      <w:proofErr w:type="spellStart"/>
      <w:r w:rsidRPr="00862C48">
        <w:rPr>
          <w:rFonts w:ascii="Times New Roman" w:hAnsi="Times New Roman" w:cs="Times New Roman"/>
          <w:sz w:val="24"/>
          <w:szCs w:val="24"/>
        </w:rPr>
        <w:t>gDNA</w:t>
      </w:r>
      <w:proofErr w:type="spellEnd"/>
      <w:r w:rsidRPr="00862C48">
        <w:rPr>
          <w:rFonts w:ascii="Times New Roman" w:hAnsi="Times New Roman" w:cs="Times New Roman"/>
          <w:sz w:val="24"/>
          <w:szCs w:val="24"/>
        </w:rPr>
        <w:t xml:space="preserve">, allowing for marker excision by DR recombination, amplified by primers CSN203+CSN204 and CSN205+CSN206, respectively. These three fragments where cloned into the pU0002 vector backbone, introducing 2 </w:t>
      </w:r>
      <w:proofErr w:type="spellStart"/>
      <w:r w:rsidRPr="00862C48">
        <w:rPr>
          <w:rFonts w:ascii="Times New Roman" w:hAnsi="Times New Roman" w:cs="Times New Roman"/>
          <w:sz w:val="24"/>
          <w:szCs w:val="24"/>
        </w:rPr>
        <w:t>PacI</w:t>
      </w:r>
      <w:proofErr w:type="spellEnd"/>
      <w:r w:rsidRPr="00862C48">
        <w:rPr>
          <w:rFonts w:ascii="Times New Roman" w:hAnsi="Times New Roman" w:cs="Times New Roman"/>
          <w:sz w:val="24"/>
          <w:szCs w:val="24"/>
        </w:rPr>
        <w:t>/</w:t>
      </w:r>
      <w:proofErr w:type="spellStart"/>
      <w:r w:rsidRPr="00862C48">
        <w:rPr>
          <w:rFonts w:ascii="Times New Roman" w:hAnsi="Times New Roman" w:cs="Times New Roman"/>
          <w:sz w:val="24"/>
          <w:szCs w:val="24"/>
        </w:rPr>
        <w:t>Nt.BbvCI</w:t>
      </w:r>
      <w:proofErr w:type="spellEnd"/>
      <w:r w:rsidRPr="00862C48">
        <w:rPr>
          <w:rFonts w:ascii="Times New Roman" w:hAnsi="Times New Roman" w:cs="Times New Roman"/>
          <w:sz w:val="24"/>
          <w:szCs w:val="24"/>
        </w:rPr>
        <w:t xml:space="preserve"> USER cassettes via the primer tails, hereby creating pU2002c, which could accommodate two targeting sequences. For all three gene-deletion substrates, </w:t>
      </w:r>
      <w:proofErr w:type="spellStart"/>
      <w:r w:rsidRPr="00862C48">
        <w:rPr>
          <w:rFonts w:ascii="Times New Roman" w:hAnsi="Times New Roman" w:cs="Times New Roman"/>
          <w:i/>
          <w:sz w:val="24"/>
          <w:szCs w:val="24"/>
        </w:rPr>
        <w:t>AN</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yA</w:t>
      </w:r>
      <w:proofErr w:type="spellEnd"/>
      <w:r w:rsidRPr="00862C48">
        <w:rPr>
          <w:rFonts w:ascii="Times New Roman" w:hAnsi="Times New Roman" w:cs="Times New Roman"/>
          <w:sz w:val="24"/>
          <w:szCs w:val="24"/>
        </w:rPr>
        <w:t xml:space="preserve">, </w:t>
      </w:r>
      <w:proofErr w:type="spellStart"/>
      <w:r w:rsidRPr="00862C48">
        <w:rPr>
          <w:rFonts w:ascii="Times New Roman" w:hAnsi="Times New Roman" w:cs="Times New Roman"/>
          <w:i/>
          <w:sz w:val="24"/>
          <w:szCs w:val="24"/>
        </w:rPr>
        <w:t>ACU</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albA</w:t>
      </w:r>
      <w:proofErr w:type="spellEnd"/>
      <w:r w:rsidRPr="00862C48">
        <w:rPr>
          <w:rFonts w:ascii="Times New Roman" w:hAnsi="Times New Roman" w:cs="Times New Roman"/>
          <w:sz w:val="24"/>
          <w:szCs w:val="24"/>
        </w:rPr>
        <w:t xml:space="preserve"> and </w:t>
      </w:r>
      <w:proofErr w:type="spellStart"/>
      <w:r w:rsidRPr="00862C48">
        <w:rPr>
          <w:rFonts w:ascii="Times New Roman" w:hAnsi="Times New Roman" w:cs="Times New Roman"/>
          <w:i/>
          <w:sz w:val="24"/>
          <w:szCs w:val="24"/>
        </w:rPr>
        <w:t>ACU</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akuA</w:t>
      </w:r>
      <w:proofErr w:type="spellEnd"/>
      <w:r w:rsidRPr="00862C48">
        <w:rPr>
          <w:rFonts w:ascii="Times New Roman" w:hAnsi="Times New Roman" w:cs="Times New Roman"/>
          <w:sz w:val="24"/>
          <w:szCs w:val="24"/>
        </w:rPr>
        <w:t xml:space="preserve">, gene-flanking sequences spanning approximately 2000 </w:t>
      </w:r>
      <w:proofErr w:type="spellStart"/>
      <w:r w:rsidRPr="00862C48">
        <w:rPr>
          <w:rFonts w:ascii="Times New Roman" w:hAnsi="Times New Roman" w:cs="Times New Roman"/>
          <w:sz w:val="24"/>
          <w:szCs w:val="24"/>
        </w:rPr>
        <w:t>bp</w:t>
      </w:r>
      <w:proofErr w:type="spellEnd"/>
      <w:r w:rsidRPr="00862C48">
        <w:rPr>
          <w:rFonts w:ascii="Times New Roman" w:hAnsi="Times New Roman" w:cs="Times New Roman"/>
          <w:sz w:val="24"/>
          <w:szCs w:val="24"/>
        </w:rPr>
        <w:t xml:space="preserve"> upstream and downstream of the target </w:t>
      </w:r>
      <w:r w:rsidRPr="00862C48">
        <w:rPr>
          <w:rFonts w:ascii="Times New Roman" w:hAnsi="Times New Roman" w:cs="Times New Roman"/>
          <w:sz w:val="24"/>
          <w:szCs w:val="24"/>
        </w:rPr>
        <w:lastRenderedPageBreak/>
        <w:t xml:space="preserve">gene were amplified from the respective </w:t>
      </w:r>
      <w:proofErr w:type="spellStart"/>
      <w:r w:rsidRPr="00862C48">
        <w:rPr>
          <w:rFonts w:ascii="Times New Roman" w:hAnsi="Times New Roman" w:cs="Times New Roman"/>
          <w:sz w:val="24"/>
          <w:szCs w:val="24"/>
        </w:rPr>
        <w:t>gDNA</w:t>
      </w:r>
      <w:proofErr w:type="spellEnd"/>
      <w:r w:rsidRPr="00862C48">
        <w:rPr>
          <w:rFonts w:ascii="Times New Roman" w:hAnsi="Times New Roman" w:cs="Times New Roman"/>
          <w:sz w:val="24"/>
          <w:szCs w:val="24"/>
        </w:rPr>
        <w:t xml:space="preserve">. </w:t>
      </w:r>
      <w:proofErr w:type="spellStart"/>
      <w:r w:rsidRPr="00862C48">
        <w:rPr>
          <w:rFonts w:ascii="Times New Roman" w:hAnsi="Times New Roman" w:cs="Times New Roman"/>
          <w:i/>
          <w:sz w:val="24"/>
          <w:szCs w:val="24"/>
        </w:rPr>
        <w:t>AN</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yA</w:t>
      </w:r>
      <w:proofErr w:type="spellEnd"/>
      <w:r w:rsidRPr="00862C48">
        <w:rPr>
          <w:rFonts w:ascii="Times New Roman" w:hAnsi="Times New Roman" w:cs="Times New Roman"/>
          <w:sz w:val="24"/>
          <w:szCs w:val="24"/>
        </w:rPr>
        <w:t xml:space="preserve"> flanks were amplified with primers CSN142+CSN143 and CSN144+CSN145, </w:t>
      </w:r>
      <w:proofErr w:type="spellStart"/>
      <w:r w:rsidRPr="00862C48">
        <w:rPr>
          <w:rFonts w:ascii="Times New Roman" w:hAnsi="Times New Roman" w:cs="Times New Roman"/>
          <w:i/>
          <w:sz w:val="24"/>
          <w:szCs w:val="24"/>
        </w:rPr>
        <w:t>ACU</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albA</w:t>
      </w:r>
      <w:proofErr w:type="spellEnd"/>
      <w:r w:rsidRPr="00862C48">
        <w:rPr>
          <w:rFonts w:ascii="Times New Roman" w:hAnsi="Times New Roman" w:cs="Times New Roman"/>
          <w:sz w:val="24"/>
          <w:szCs w:val="24"/>
        </w:rPr>
        <w:t xml:space="preserve"> targeting sequencing were amplified with primers CSN226+CSN227 and CSN228+CSN229, and for the </w:t>
      </w:r>
      <w:proofErr w:type="spellStart"/>
      <w:r w:rsidRPr="00862C48">
        <w:rPr>
          <w:rFonts w:ascii="Times New Roman" w:hAnsi="Times New Roman" w:cs="Times New Roman"/>
          <w:i/>
          <w:sz w:val="24"/>
          <w:szCs w:val="24"/>
        </w:rPr>
        <w:t>ACU</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akuA</w:t>
      </w:r>
      <w:proofErr w:type="spellEnd"/>
      <w:r w:rsidRPr="00862C48">
        <w:rPr>
          <w:rFonts w:ascii="Times New Roman" w:hAnsi="Times New Roman" w:cs="Times New Roman"/>
          <w:sz w:val="24"/>
          <w:szCs w:val="24"/>
        </w:rPr>
        <w:t xml:space="preserve"> deletion vector, the primers CSN125+CSN448 and CSN449+CSN460 were used. Paired and purified targeting fragments were USER cloned into pU2002c giving pU2000c-AN</w:t>
      </w:r>
      <w:r w:rsidRPr="00862C48">
        <w:rPr>
          <w:rFonts w:ascii="Times New Roman" w:hAnsi="Times New Roman" w:cs="Times New Roman"/>
          <w:i/>
          <w:sz w:val="24"/>
          <w:szCs w:val="24"/>
        </w:rPr>
        <w:t>yA</w:t>
      </w:r>
      <w:r w:rsidRPr="00862C48">
        <w:rPr>
          <w:rFonts w:ascii="Times New Roman" w:hAnsi="Times New Roman" w:cs="Times New Roman"/>
          <w:sz w:val="24"/>
          <w:szCs w:val="24"/>
        </w:rPr>
        <w:t>, pU2000c-ACU</w:t>
      </w:r>
      <w:r w:rsidRPr="00862C48">
        <w:rPr>
          <w:rFonts w:ascii="Times New Roman" w:hAnsi="Times New Roman" w:cs="Times New Roman"/>
          <w:i/>
          <w:sz w:val="24"/>
          <w:szCs w:val="24"/>
        </w:rPr>
        <w:t xml:space="preserve">albA </w:t>
      </w:r>
      <w:r w:rsidRPr="00862C48">
        <w:rPr>
          <w:rFonts w:ascii="Times New Roman" w:hAnsi="Times New Roman" w:cs="Times New Roman"/>
          <w:sz w:val="24"/>
          <w:szCs w:val="24"/>
        </w:rPr>
        <w:t>and</w:t>
      </w:r>
      <w:r w:rsidRPr="00862C48">
        <w:rPr>
          <w:rFonts w:ascii="Times New Roman" w:hAnsi="Times New Roman" w:cs="Times New Roman"/>
          <w:i/>
          <w:sz w:val="24"/>
          <w:szCs w:val="24"/>
        </w:rPr>
        <w:t xml:space="preserve"> </w:t>
      </w:r>
      <w:r w:rsidRPr="00862C48">
        <w:rPr>
          <w:rFonts w:ascii="Times New Roman" w:hAnsi="Times New Roman" w:cs="Times New Roman"/>
          <w:sz w:val="24"/>
          <w:szCs w:val="24"/>
        </w:rPr>
        <w:t>pU2000c-</w:t>
      </w:r>
      <w:r w:rsidRPr="00862C48">
        <w:rPr>
          <w:rFonts w:ascii="Times New Roman" w:hAnsi="Times New Roman" w:cs="Times New Roman"/>
          <w:i/>
          <w:sz w:val="24"/>
          <w:szCs w:val="24"/>
        </w:rPr>
        <w:t>ACU</w:t>
      </w:r>
      <w:r w:rsidR="00884E55" w:rsidRPr="00862C48">
        <w:rPr>
          <w:rFonts w:ascii="Times New Roman" w:hAnsi="Times New Roman" w:cs="Times New Roman"/>
          <w:i/>
          <w:sz w:val="24"/>
          <w:szCs w:val="24"/>
        </w:rPr>
        <w:t>_</w:t>
      </w:r>
      <w:r w:rsidRPr="00862C48">
        <w:rPr>
          <w:rFonts w:ascii="Times New Roman" w:hAnsi="Times New Roman" w:cs="Times New Roman"/>
          <w:i/>
          <w:sz w:val="24"/>
          <w:szCs w:val="24"/>
        </w:rPr>
        <w:t>akuA</w:t>
      </w:r>
      <w:r w:rsidRPr="00862C48">
        <w:rPr>
          <w:rFonts w:ascii="Times New Roman" w:hAnsi="Times New Roman" w:cs="Times New Roman"/>
          <w:sz w:val="24"/>
          <w:szCs w:val="24"/>
        </w:rPr>
        <w:t xml:space="preserve">, respectively. In the case where gene-deletion plasmids were linearized prior to transformation, </w:t>
      </w:r>
      <w:proofErr w:type="spellStart"/>
      <w:r w:rsidRPr="00862C48">
        <w:rPr>
          <w:rFonts w:ascii="Times New Roman" w:hAnsi="Times New Roman" w:cs="Times New Roman"/>
          <w:sz w:val="24"/>
          <w:szCs w:val="24"/>
        </w:rPr>
        <w:t>SwaI</w:t>
      </w:r>
      <w:proofErr w:type="spellEnd"/>
      <w:r w:rsidRPr="00862C48">
        <w:rPr>
          <w:rFonts w:ascii="Times New Roman" w:hAnsi="Times New Roman" w:cs="Times New Roman"/>
          <w:sz w:val="24"/>
          <w:szCs w:val="24"/>
        </w:rPr>
        <w:t xml:space="preserve"> digestions liberated the gene-deletion constructs from their respective vector backbone. Fragments and plasmids were purified with </w:t>
      </w:r>
      <w:proofErr w:type="spellStart"/>
      <w:r w:rsidR="001C6836" w:rsidRPr="00862C48">
        <w:rPr>
          <w:rFonts w:ascii="Times New Roman" w:hAnsi="Times New Roman" w:cs="Times New Roman"/>
          <w:sz w:val="24"/>
          <w:szCs w:val="24"/>
        </w:rPr>
        <w:t>illustra</w:t>
      </w:r>
      <w:proofErr w:type="spellEnd"/>
      <w:r w:rsidR="001C6836" w:rsidRPr="00862C48">
        <w:rPr>
          <w:rFonts w:ascii="Times New Roman" w:hAnsi="Times New Roman" w:cs="Times New Roman"/>
          <w:sz w:val="24"/>
          <w:szCs w:val="24"/>
        </w:rPr>
        <w:t xml:space="preserve"> GFX PCR DNA and Gel Band Purification Kit </w:t>
      </w:r>
      <w:r w:rsidRPr="00862C48">
        <w:rPr>
          <w:rFonts w:ascii="Times New Roman" w:hAnsi="Times New Roman" w:cs="Times New Roman"/>
          <w:sz w:val="24"/>
          <w:szCs w:val="24"/>
        </w:rPr>
        <w:t>(GE Healthcare</w:t>
      </w:r>
      <w:r w:rsidR="001C6836" w:rsidRPr="00862C48">
        <w:rPr>
          <w:rFonts w:ascii="Times New Roman" w:hAnsi="Times New Roman" w:cs="Times New Roman"/>
          <w:sz w:val="24"/>
          <w:szCs w:val="24"/>
        </w:rPr>
        <w:t>, USA</w:t>
      </w:r>
      <w:r w:rsidRPr="00862C48">
        <w:rPr>
          <w:rFonts w:ascii="Times New Roman" w:hAnsi="Times New Roman" w:cs="Times New Roman"/>
          <w:sz w:val="24"/>
          <w:szCs w:val="24"/>
        </w:rPr>
        <w:t xml:space="preserve">) and </w:t>
      </w:r>
      <w:proofErr w:type="spellStart"/>
      <w:r w:rsidR="001C6836" w:rsidRPr="00862C48">
        <w:rPr>
          <w:rFonts w:ascii="Times New Roman" w:hAnsi="Times New Roman" w:cs="Times New Roman"/>
          <w:sz w:val="24"/>
          <w:szCs w:val="24"/>
        </w:rPr>
        <w:t>GenElute</w:t>
      </w:r>
      <w:proofErr w:type="spellEnd"/>
      <w:r w:rsidR="001C6836" w:rsidRPr="00862C48">
        <w:rPr>
          <w:rFonts w:ascii="Times New Roman" w:hAnsi="Times New Roman" w:cs="Times New Roman"/>
          <w:sz w:val="24"/>
          <w:szCs w:val="24"/>
        </w:rPr>
        <w:t xml:space="preserve"> Plasmid </w:t>
      </w:r>
      <w:proofErr w:type="spellStart"/>
      <w:r w:rsidR="001C6836" w:rsidRPr="00862C48">
        <w:rPr>
          <w:rFonts w:ascii="Times New Roman" w:hAnsi="Times New Roman" w:cs="Times New Roman"/>
          <w:sz w:val="24"/>
          <w:szCs w:val="24"/>
        </w:rPr>
        <w:t>Miniprep</w:t>
      </w:r>
      <w:proofErr w:type="spellEnd"/>
      <w:r w:rsidR="001C6836" w:rsidRPr="00862C48">
        <w:rPr>
          <w:rFonts w:ascii="Times New Roman" w:hAnsi="Times New Roman" w:cs="Times New Roman"/>
          <w:sz w:val="24"/>
          <w:szCs w:val="24"/>
        </w:rPr>
        <w:t xml:space="preserve"> Kit</w:t>
      </w:r>
      <w:r w:rsidRPr="00862C48">
        <w:rPr>
          <w:rFonts w:ascii="Times New Roman" w:hAnsi="Times New Roman" w:cs="Times New Roman"/>
          <w:sz w:val="24"/>
          <w:szCs w:val="24"/>
        </w:rPr>
        <w:t xml:space="preserve"> (Sigma-Aldrich</w:t>
      </w:r>
      <w:r w:rsidR="001C6836" w:rsidRPr="00862C48">
        <w:rPr>
          <w:rFonts w:ascii="Times New Roman" w:hAnsi="Times New Roman" w:cs="Times New Roman"/>
          <w:sz w:val="24"/>
          <w:szCs w:val="24"/>
        </w:rPr>
        <w:t>, USA</w:t>
      </w:r>
      <w:r w:rsidRPr="00862C48">
        <w:rPr>
          <w:rFonts w:ascii="Times New Roman" w:hAnsi="Times New Roman" w:cs="Times New Roman"/>
          <w:sz w:val="24"/>
          <w:szCs w:val="24"/>
        </w:rPr>
        <w:t>), respectively.</w:t>
      </w:r>
    </w:p>
    <w:p w:rsidR="006054A4" w:rsidRPr="00DF547A" w:rsidRDefault="006A2795">
      <w:pPr>
        <w:pStyle w:val="NormalWeb"/>
        <w:ind w:left="640" w:hanging="640"/>
        <w:divId w:val="759912254"/>
        <w:rPr>
          <w:noProof/>
          <w:lang w:val="en-US"/>
        </w:rPr>
      </w:pPr>
      <w:r w:rsidRPr="00862C48">
        <w:fldChar w:fldCharType="begin" w:fldLock="1"/>
      </w:r>
      <w:r w:rsidRPr="00862C48">
        <w:instrText xml:space="preserve">ADDIN Mendeley Bibliography CSL_BIBLIOGRAPHY </w:instrText>
      </w:r>
      <w:r w:rsidRPr="00862C48">
        <w:fldChar w:fldCharType="separate"/>
      </w:r>
      <w:r w:rsidR="006054A4" w:rsidRPr="006054A4">
        <w:rPr>
          <w:noProof/>
        </w:rPr>
        <w:t xml:space="preserve">1. </w:t>
      </w:r>
      <w:r w:rsidR="006054A4" w:rsidRPr="006054A4">
        <w:rPr>
          <w:noProof/>
        </w:rPr>
        <w:tab/>
        <w:t xml:space="preserve">Hansen BG, Salomonsen B, Nielsen MT, Nielsen JB, Hansen NB, Nielsen KF, et al. </w:t>
      </w:r>
      <w:r w:rsidR="006054A4" w:rsidRPr="00DF547A">
        <w:rPr>
          <w:noProof/>
          <w:lang w:val="en-US"/>
        </w:rPr>
        <w:t>Versatile enzyme expression and characterization system for Aspergillus nidulans, with the Penicillium brevicompactum polyketide synthase gene from the mycophenolic acid gene cluster as a test case. Appl Environ Microbiol. 2011;77: 3044–3051. doi:10.1128/AEM.01768-10</w:t>
      </w:r>
    </w:p>
    <w:p w:rsidR="006054A4" w:rsidRPr="00DF547A" w:rsidRDefault="006054A4">
      <w:pPr>
        <w:pStyle w:val="NormalWeb"/>
        <w:ind w:left="640" w:hanging="640"/>
        <w:divId w:val="759912254"/>
        <w:rPr>
          <w:noProof/>
          <w:lang w:val="en-US"/>
        </w:rPr>
      </w:pPr>
      <w:r w:rsidRPr="00DF547A">
        <w:rPr>
          <w:noProof/>
          <w:lang w:val="en-US"/>
        </w:rPr>
        <w:t xml:space="preserve">2. </w:t>
      </w:r>
      <w:r w:rsidRPr="00DF547A">
        <w:rPr>
          <w:noProof/>
          <w:lang w:val="en-US"/>
        </w:rPr>
        <w:tab/>
        <w:t>Geu-Flores F, Nour-Eldin HH, Nielsen MT, Halkier B a. USER fusion: a rapid and efficient method for simultaneous fusion and cloning of multiple PCR products. Nucleic Acids Res. 2007;35: e55. doi:10.1093/nar/gkm106</w:t>
      </w:r>
    </w:p>
    <w:p w:rsidR="006054A4" w:rsidRPr="006054A4" w:rsidRDefault="006054A4">
      <w:pPr>
        <w:pStyle w:val="NormalWeb"/>
        <w:ind w:left="640" w:hanging="640"/>
        <w:divId w:val="759912254"/>
        <w:rPr>
          <w:noProof/>
        </w:rPr>
      </w:pPr>
      <w:r w:rsidRPr="00DF547A">
        <w:rPr>
          <w:noProof/>
          <w:lang w:val="en-US"/>
        </w:rPr>
        <w:t xml:space="preserve">3. </w:t>
      </w:r>
      <w:r w:rsidRPr="00DF547A">
        <w:rPr>
          <w:noProof/>
          <w:lang w:val="en-US"/>
        </w:rPr>
        <w:tab/>
        <w:t xml:space="preserve">Gao Y, Zhao Y. Self-processing of ribozyme-flanked RNAs into guide RNAs in vitro and in vivo for CRISPR-mediated genome editing. </w:t>
      </w:r>
      <w:r w:rsidRPr="006054A4">
        <w:rPr>
          <w:noProof/>
        </w:rPr>
        <w:t xml:space="preserve">J Integr Plant Biol. 2014;56: 343–349. doi:10.1111/jipb.12152 </w:t>
      </w:r>
    </w:p>
    <w:p w:rsidR="00F02526" w:rsidRPr="00862C48" w:rsidRDefault="006A2795" w:rsidP="006A2795">
      <w:pPr>
        <w:pStyle w:val="NormalWeb"/>
        <w:ind w:left="640" w:hanging="640"/>
        <w:divId w:val="2141266757"/>
      </w:pPr>
      <w:r w:rsidRPr="00862C48">
        <w:fldChar w:fldCharType="end"/>
      </w:r>
    </w:p>
    <w:sectPr w:rsidR="00F02526" w:rsidRPr="00862C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13"/>
    <w:rsid w:val="001443DF"/>
    <w:rsid w:val="00182625"/>
    <w:rsid w:val="001C6836"/>
    <w:rsid w:val="002C54FF"/>
    <w:rsid w:val="003907D0"/>
    <w:rsid w:val="003A3EEA"/>
    <w:rsid w:val="0051596A"/>
    <w:rsid w:val="00554F12"/>
    <w:rsid w:val="006054A4"/>
    <w:rsid w:val="006316DF"/>
    <w:rsid w:val="006A2795"/>
    <w:rsid w:val="00860538"/>
    <w:rsid w:val="00862C48"/>
    <w:rsid w:val="00884E55"/>
    <w:rsid w:val="0090091B"/>
    <w:rsid w:val="009B2EBE"/>
    <w:rsid w:val="00A43490"/>
    <w:rsid w:val="00AA2404"/>
    <w:rsid w:val="00AF6A57"/>
    <w:rsid w:val="00B861CF"/>
    <w:rsid w:val="00C04099"/>
    <w:rsid w:val="00CC0F54"/>
    <w:rsid w:val="00DE5510"/>
    <w:rsid w:val="00DF547A"/>
    <w:rsid w:val="00E64089"/>
    <w:rsid w:val="00F10DD5"/>
    <w:rsid w:val="00FB28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976D2-712C-485E-AB6E-08ACA631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13"/>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FB2813"/>
    <w:rPr>
      <w:sz w:val="16"/>
      <w:szCs w:val="16"/>
    </w:rPr>
  </w:style>
  <w:style w:type="paragraph" w:styleId="Kommentartekst">
    <w:name w:val="annotation text"/>
    <w:basedOn w:val="Normal"/>
    <w:link w:val="KommentartekstTegn"/>
    <w:uiPriority w:val="99"/>
    <w:semiHidden/>
    <w:unhideWhenUsed/>
    <w:rsid w:val="00FB281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2813"/>
    <w:rPr>
      <w:sz w:val="20"/>
      <w:szCs w:val="20"/>
      <w:lang w:val="en-US"/>
    </w:rPr>
  </w:style>
  <w:style w:type="paragraph" w:styleId="Markeringsbobletekst">
    <w:name w:val="Balloon Text"/>
    <w:basedOn w:val="Normal"/>
    <w:link w:val="MarkeringsbobletekstTegn"/>
    <w:uiPriority w:val="99"/>
    <w:semiHidden/>
    <w:unhideWhenUsed/>
    <w:rsid w:val="00FB28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2813"/>
    <w:rPr>
      <w:rFonts w:ascii="Tahoma" w:hAnsi="Tahoma" w:cs="Tahoma"/>
      <w:sz w:val="16"/>
      <w:szCs w:val="16"/>
      <w:lang w:val="en-US"/>
    </w:rPr>
  </w:style>
  <w:style w:type="paragraph" w:styleId="Kommentaremne">
    <w:name w:val="annotation subject"/>
    <w:basedOn w:val="Kommentartekst"/>
    <w:next w:val="Kommentartekst"/>
    <w:link w:val="KommentaremneTegn"/>
    <w:uiPriority w:val="99"/>
    <w:semiHidden/>
    <w:unhideWhenUsed/>
    <w:rsid w:val="001C6836"/>
    <w:rPr>
      <w:b/>
      <w:bCs/>
    </w:rPr>
  </w:style>
  <w:style w:type="character" w:customStyle="1" w:styleId="KommentaremneTegn">
    <w:name w:val="Kommentaremne Tegn"/>
    <w:basedOn w:val="KommentartekstTegn"/>
    <w:link w:val="Kommentaremne"/>
    <w:uiPriority w:val="99"/>
    <w:semiHidden/>
    <w:rsid w:val="001C6836"/>
    <w:rPr>
      <w:b/>
      <w:bCs/>
      <w:sz w:val="20"/>
      <w:szCs w:val="20"/>
      <w:lang w:val="en-US"/>
    </w:rPr>
  </w:style>
  <w:style w:type="paragraph" w:styleId="NormalWeb">
    <w:name w:val="Normal (Web)"/>
    <w:basedOn w:val="Normal"/>
    <w:uiPriority w:val="99"/>
    <w:unhideWhenUsed/>
    <w:rsid w:val="006A2795"/>
    <w:pPr>
      <w:spacing w:before="100" w:beforeAutospacing="1" w:after="100" w:afterAutospacing="1" w:line="240" w:lineRule="auto"/>
    </w:pPr>
    <w:rPr>
      <w:rFonts w:ascii="Times New Roman" w:eastAsiaTheme="minorEastAsia"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6757">
      <w:bodyDiv w:val="1"/>
      <w:marLeft w:val="0"/>
      <w:marRight w:val="0"/>
      <w:marTop w:val="0"/>
      <w:marBottom w:val="0"/>
      <w:divBdr>
        <w:top w:val="none" w:sz="0" w:space="0" w:color="auto"/>
        <w:left w:val="none" w:sz="0" w:space="0" w:color="auto"/>
        <w:bottom w:val="none" w:sz="0" w:space="0" w:color="auto"/>
        <w:right w:val="none" w:sz="0" w:space="0" w:color="auto"/>
      </w:divBdr>
      <w:divsChild>
        <w:div w:id="538588395">
          <w:marLeft w:val="0"/>
          <w:marRight w:val="0"/>
          <w:marTop w:val="0"/>
          <w:marBottom w:val="0"/>
          <w:divBdr>
            <w:top w:val="none" w:sz="0" w:space="0" w:color="auto"/>
            <w:left w:val="none" w:sz="0" w:space="0" w:color="auto"/>
            <w:bottom w:val="none" w:sz="0" w:space="0" w:color="auto"/>
            <w:right w:val="none" w:sz="0" w:space="0" w:color="auto"/>
          </w:divBdr>
          <w:divsChild>
            <w:div w:id="1294095915">
              <w:marLeft w:val="0"/>
              <w:marRight w:val="0"/>
              <w:marTop w:val="0"/>
              <w:marBottom w:val="0"/>
              <w:divBdr>
                <w:top w:val="none" w:sz="0" w:space="0" w:color="auto"/>
                <w:left w:val="none" w:sz="0" w:space="0" w:color="auto"/>
                <w:bottom w:val="none" w:sz="0" w:space="0" w:color="auto"/>
                <w:right w:val="none" w:sz="0" w:space="0" w:color="auto"/>
              </w:divBdr>
              <w:divsChild>
                <w:div w:id="7599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896B-5C5C-4D46-8184-662B0913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2540</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Blæsbjerg Nielsen</dc:creator>
  <cp:lastModifiedBy>Cirenya</cp:lastModifiedBy>
  <cp:revision>9</cp:revision>
  <dcterms:created xsi:type="dcterms:W3CDTF">2015-06-09T09:08:00Z</dcterms:created>
  <dcterms:modified xsi:type="dcterms:W3CDTF">2015-07-01T11:55:00Z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chrsn@bio.dtu.dk@www.mendeley.com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