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35B3" w14:textId="77777777" w:rsidR="00E610F7" w:rsidRDefault="004C4044" w:rsidP="004C4044">
      <w:pPr>
        <w:pStyle w:val="Heading1"/>
      </w:pPr>
      <w:r>
        <w:t xml:space="preserve">S1 Appendix: </w:t>
      </w:r>
    </w:p>
    <w:p w14:paraId="070DCE7A" w14:textId="77777777" w:rsidR="00C136D4" w:rsidRDefault="004C4044" w:rsidP="004C4044">
      <w:pPr>
        <w:pStyle w:val="Heading1"/>
      </w:pPr>
      <w:r w:rsidRPr="004C4044">
        <w:t>Results of the sensitivity analysis excluding studies at high risk of bias</w:t>
      </w:r>
      <w:r w:rsidR="0062329B">
        <w:t>*</w:t>
      </w:r>
    </w:p>
    <w:p w14:paraId="37B6C582" w14:textId="77777777" w:rsidR="00223FD5" w:rsidRPr="00223FD5" w:rsidRDefault="00223FD5" w:rsidP="00223FD5"/>
    <w:p w14:paraId="79C3E5FD" w14:textId="77777777" w:rsidR="00223FD5" w:rsidRPr="00223FD5" w:rsidRDefault="0062329B" w:rsidP="00223FD5">
      <w:pPr>
        <w:rPr>
          <w:b/>
        </w:rPr>
      </w:pPr>
      <w:r>
        <w:rPr>
          <w:b/>
        </w:rPr>
        <w:t xml:space="preserve">* </w:t>
      </w:r>
      <w:r w:rsidR="00223FD5" w:rsidRPr="00223FD5">
        <w:rPr>
          <w:b/>
        </w:rPr>
        <w:t>No significant results remain following Holm-Bonferroni correction for multiple comparisons</w:t>
      </w:r>
    </w:p>
    <w:p w14:paraId="6B5B0BFA" w14:textId="77777777" w:rsidR="00223FD5" w:rsidRPr="00223FD5" w:rsidRDefault="00223FD5" w:rsidP="00223FD5"/>
    <w:p w14:paraId="1EE75368" w14:textId="77777777" w:rsidR="004C4044" w:rsidRDefault="004C4044" w:rsidP="004C4044">
      <w:pPr>
        <w:pStyle w:val="Heading2"/>
      </w:pPr>
      <w:r>
        <w:t>Primary analysis</w:t>
      </w:r>
      <w:r w:rsidR="00C30E2B">
        <w:t xml:space="preserve"> – sensitivity analysis</w:t>
      </w:r>
    </w:p>
    <w:p w14:paraId="2B7791AD" w14:textId="77777777" w:rsidR="004C4044" w:rsidRDefault="004C4044" w:rsidP="004C4044">
      <w:r>
        <w:rPr>
          <w:noProof/>
          <w:lang w:val="en-US"/>
        </w:rPr>
        <w:drawing>
          <wp:inline distT="0" distB="0" distL="0" distR="0" wp14:anchorId="4D78080A" wp14:editId="10D938EF">
            <wp:extent cx="5270500" cy="481308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BF9" w14:textId="77777777" w:rsidR="004C4044" w:rsidRPr="004C4044" w:rsidRDefault="004C4044" w:rsidP="004C4044">
      <w:r>
        <w:rPr>
          <w:noProof/>
          <w:lang w:val="en-US"/>
        </w:rPr>
        <w:lastRenderedPageBreak/>
        <w:drawing>
          <wp:inline distT="0" distB="0" distL="0" distR="0" wp14:anchorId="7869DF5E" wp14:editId="10AB2258">
            <wp:extent cx="5270500" cy="57651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E5EE" w14:textId="77777777" w:rsidR="00446E67" w:rsidRDefault="00446E67" w:rsidP="004C4044">
      <w:pPr>
        <w:pStyle w:val="Heading2"/>
      </w:pPr>
    </w:p>
    <w:p w14:paraId="5C8FB752" w14:textId="77777777" w:rsidR="00446E67" w:rsidRDefault="00446E67" w:rsidP="004C4044">
      <w:pPr>
        <w:pStyle w:val="Heading2"/>
      </w:pPr>
    </w:p>
    <w:p w14:paraId="1078B928" w14:textId="77777777" w:rsidR="00446E67" w:rsidRDefault="00446E67" w:rsidP="004C4044">
      <w:pPr>
        <w:pStyle w:val="Heading2"/>
      </w:pPr>
    </w:p>
    <w:p w14:paraId="0263EA62" w14:textId="77777777" w:rsidR="00446E67" w:rsidRDefault="00446E67" w:rsidP="004C4044">
      <w:pPr>
        <w:pStyle w:val="Heading2"/>
      </w:pPr>
    </w:p>
    <w:p w14:paraId="4E236394" w14:textId="77777777" w:rsidR="00446E67" w:rsidRDefault="00446E67" w:rsidP="004C4044">
      <w:pPr>
        <w:pStyle w:val="Heading2"/>
      </w:pPr>
    </w:p>
    <w:p w14:paraId="3EB00487" w14:textId="77777777" w:rsidR="00446E67" w:rsidRDefault="00446E67" w:rsidP="004C4044">
      <w:pPr>
        <w:pStyle w:val="Heading2"/>
      </w:pPr>
    </w:p>
    <w:p w14:paraId="01AA7EC5" w14:textId="77777777" w:rsidR="00446E67" w:rsidRDefault="00446E67" w:rsidP="004C4044">
      <w:pPr>
        <w:pStyle w:val="Heading2"/>
      </w:pPr>
    </w:p>
    <w:p w14:paraId="04CE093D" w14:textId="77777777" w:rsidR="004C4044" w:rsidRDefault="004C4044" w:rsidP="004C4044">
      <w:pPr>
        <w:pStyle w:val="Heading2"/>
      </w:pPr>
      <w:r>
        <w:lastRenderedPageBreak/>
        <w:t>Secondary analysis</w:t>
      </w:r>
      <w:r w:rsidR="00C30E2B">
        <w:t xml:space="preserve"> – sensitivity analysis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C30E2B" w:rsidRPr="00C30E2B" w14:paraId="5B8186D3" w14:textId="77777777" w:rsidTr="00C30E2B">
        <w:tc>
          <w:tcPr>
            <w:tcW w:w="3794" w:type="dxa"/>
          </w:tcPr>
          <w:p w14:paraId="6F450914" w14:textId="77777777" w:rsidR="00C30E2B" w:rsidRPr="00C30E2B" w:rsidRDefault="00C30E2B" w:rsidP="00C30E2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>Outcome (time-period)</w:t>
            </w:r>
          </w:p>
        </w:tc>
        <w:tc>
          <w:tcPr>
            <w:tcW w:w="5386" w:type="dxa"/>
            <w:gridSpan w:val="2"/>
          </w:tcPr>
          <w:p w14:paraId="467A43A2" w14:textId="77777777" w:rsidR="00C30E2B" w:rsidRPr="00C30E2B" w:rsidRDefault="00C30E2B" w:rsidP="00C30E2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Subgroup effect size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(number of studies)</w:t>
            </w:r>
          </w:p>
        </w:tc>
      </w:tr>
      <w:tr w:rsidR="00C30E2B" w:rsidRPr="00C30E2B" w14:paraId="0DB92DBE" w14:textId="77777777" w:rsidTr="00C30E2B">
        <w:tc>
          <w:tcPr>
            <w:tcW w:w="3794" w:type="dxa"/>
          </w:tcPr>
          <w:p w14:paraId="131E38DA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977C1C4" w14:textId="77777777" w:rsidR="00C30E2B" w:rsidRPr="00C30E2B" w:rsidRDefault="00C30E2B" w:rsidP="00B4076D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MDT </w:t>
            </w:r>
            <w:r w:rsidR="00B4076D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(19)</w:t>
            </w:r>
          </w:p>
        </w:tc>
        <w:tc>
          <w:tcPr>
            <w:tcW w:w="2693" w:type="dxa"/>
          </w:tcPr>
          <w:p w14:paraId="52512304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Single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(15)</w:t>
            </w:r>
          </w:p>
        </w:tc>
      </w:tr>
      <w:tr w:rsidR="00C30E2B" w:rsidRPr="00C30E2B" w14:paraId="7C4AB5E6" w14:textId="77777777" w:rsidTr="00C30E2B">
        <w:tc>
          <w:tcPr>
            <w:tcW w:w="3794" w:type="dxa"/>
          </w:tcPr>
          <w:p w14:paraId="141C8AF9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primary care (short)</w:t>
            </w:r>
          </w:p>
        </w:tc>
        <w:tc>
          <w:tcPr>
            <w:tcW w:w="2693" w:type="dxa"/>
          </w:tcPr>
          <w:p w14:paraId="260C27BC" w14:textId="77777777" w:rsidR="00C30E2B" w:rsidRPr="00C30E2B" w:rsidRDefault="004F5061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-0.09 (-0.31 to 0.14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10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3B5D1065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-0.04 (-0.20 to 0.11)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(4)</w:t>
            </w:r>
          </w:p>
        </w:tc>
      </w:tr>
      <w:tr w:rsidR="00C30E2B" w:rsidRPr="00C30E2B" w14:paraId="74F1F04A" w14:textId="77777777" w:rsidTr="00C30E2B">
        <w:tc>
          <w:tcPr>
            <w:tcW w:w="3794" w:type="dxa"/>
          </w:tcPr>
          <w:p w14:paraId="59313622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secondary care (short)</w:t>
            </w:r>
          </w:p>
        </w:tc>
        <w:tc>
          <w:tcPr>
            <w:tcW w:w="2693" w:type="dxa"/>
          </w:tcPr>
          <w:p w14:paraId="4FF6A0AD" w14:textId="77777777" w:rsidR="00C30E2B" w:rsidRPr="00C30E2B" w:rsidRDefault="00F67F75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0.10 (0.01 to 0.20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>)</w:t>
            </w:r>
            <w:r>
              <w:rPr>
                <w:rFonts w:ascii="Cambria" w:eastAsia="MS Mincho" w:hAnsi="Cambria" w:cs="Times New Roman"/>
                <w:sz w:val="24"/>
                <w:szCs w:val="24"/>
              </w:rPr>
              <w:t>*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 w:rsidR="004F5061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13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437EDD05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0.01 (-0.06 to 0.09)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(8)</w:t>
            </w:r>
          </w:p>
        </w:tc>
      </w:tr>
      <w:tr w:rsidR="00C30E2B" w:rsidRPr="00C30E2B" w14:paraId="0B591A83" w14:textId="77777777" w:rsidTr="00C30E2B">
        <w:tc>
          <w:tcPr>
            <w:tcW w:w="3794" w:type="dxa"/>
          </w:tcPr>
          <w:p w14:paraId="009C412C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CD2E2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Low PHC score </w:t>
            </w:r>
            <w:r w:rsidR="009D0FBA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(22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20B2EDCA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Int/high PHC score </w:t>
            </w:r>
            <w:r w:rsidR="009D0FBA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(12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</w:tr>
      <w:tr w:rsidR="00C30E2B" w:rsidRPr="00C30E2B" w14:paraId="184885BD" w14:textId="77777777" w:rsidTr="00C30E2B">
        <w:tc>
          <w:tcPr>
            <w:tcW w:w="3794" w:type="dxa"/>
          </w:tcPr>
          <w:p w14:paraId="745AC9A6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primary care (short)</w:t>
            </w:r>
          </w:p>
        </w:tc>
        <w:tc>
          <w:tcPr>
            <w:tcW w:w="2693" w:type="dxa"/>
          </w:tcPr>
          <w:p w14:paraId="59F6D462" w14:textId="77777777" w:rsidR="00C30E2B" w:rsidRPr="00C30E2B" w:rsidRDefault="004F5061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-0.14 (-0.33 to 0.05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10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6D3EAB8F" w14:textId="77777777" w:rsidR="00C30E2B" w:rsidRPr="00C30E2B" w:rsidRDefault="004F5061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0.05 (-0.14 to 0.25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4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C30E2B" w:rsidRPr="00C30E2B" w14:paraId="7486F301" w14:textId="77777777" w:rsidTr="00C30E2B">
        <w:tc>
          <w:tcPr>
            <w:tcW w:w="3794" w:type="dxa"/>
          </w:tcPr>
          <w:p w14:paraId="313F4FA5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secondary care (short)</w:t>
            </w:r>
          </w:p>
        </w:tc>
        <w:tc>
          <w:tcPr>
            <w:tcW w:w="2693" w:type="dxa"/>
          </w:tcPr>
          <w:p w14:paraId="64DF3851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0.01 (-0.03 to 0.06)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 w:rsidR="004F5061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15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62807149" w14:textId="77777777" w:rsidR="00C30E2B" w:rsidRPr="00C30E2B" w:rsidRDefault="004F5061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0.13 (-0.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>0</w:t>
            </w:r>
            <w:r>
              <w:rPr>
                <w:rFonts w:ascii="Cambria" w:eastAsia="MS Mincho" w:hAnsi="Cambria" w:cs="Times New Roman"/>
                <w:sz w:val="24"/>
                <w:szCs w:val="24"/>
              </w:rPr>
              <w:t>5 to 0.31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6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C30E2B" w:rsidRPr="00C30E2B" w14:paraId="38AFDDBB" w14:textId="77777777" w:rsidTr="00C30E2B">
        <w:tc>
          <w:tcPr>
            <w:tcW w:w="3794" w:type="dxa"/>
          </w:tcPr>
          <w:p w14:paraId="7825665F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D531D6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Clinical Judgement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(4)</w:t>
            </w:r>
          </w:p>
        </w:tc>
        <w:tc>
          <w:tcPr>
            <w:tcW w:w="2693" w:type="dxa"/>
          </w:tcPr>
          <w:p w14:paraId="06E5CB2B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Risk modelling </w:t>
            </w:r>
            <w:r w:rsidR="00A37295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(30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</w:tr>
      <w:tr w:rsidR="00C30E2B" w:rsidRPr="00C30E2B" w14:paraId="60EC13BE" w14:textId="77777777" w:rsidTr="00C30E2B">
        <w:tc>
          <w:tcPr>
            <w:tcW w:w="3794" w:type="dxa"/>
          </w:tcPr>
          <w:p w14:paraId="4DDA0FBF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primary care (short)</w:t>
            </w:r>
          </w:p>
        </w:tc>
        <w:tc>
          <w:tcPr>
            <w:tcW w:w="2693" w:type="dxa"/>
          </w:tcPr>
          <w:p w14:paraId="419AF0CC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n/a</w:t>
            </w:r>
          </w:p>
        </w:tc>
        <w:tc>
          <w:tcPr>
            <w:tcW w:w="2693" w:type="dxa"/>
          </w:tcPr>
          <w:p w14:paraId="701496DA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n/a</w:t>
            </w:r>
          </w:p>
        </w:tc>
      </w:tr>
      <w:tr w:rsidR="00C30E2B" w:rsidRPr="00C30E2B" w14:paraId="408FA3BD" w14:textId="77777777" w:rsidTr="00C30E2B">
        <w:tc>
          <w:tcPr>
            <w:tcW w:w="3794" w:type="dxa"/>
          </w:tcPr>
          <w:p w14:paraId="5BBE4540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secondary care (short)</w:t>
            </w:r>
          </w:p>
        </w:tc>
        <w:tc>
          <w:tcPr>
            <w:tcW w:w="2693" w:type="dxa"/>
          </w:tcPr>
          <w:p w14:paraId="2D73914D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-0.06 (-0.18 to 0.06)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693" w:type="dxa"/>
            <w:shd w:val="clear" w:color="auto" w:fill="auto"/>
          </w:tcPr>
          <w:p w14:paraId="459A03C6" w14:textId="77777777" w:rsidR="00C30E2B" w:rsidRPr="00C30E2B" w:rsidRDefault="00C45D48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0.07 (0.01 to 0.14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>)</w:t>
            </w:r>
            <w:r>
              <w:rPr>
                <w:rFonts w:ascii="Cambria" w:eastAsia="MS Mincho" w:hAnsi="Cambria" w:cs="Times New Roman"/>
                <w:sz w:val="24"/>
                <w:szCs w:val="24"/>
              </w:rPr>
              <w:t>*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18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C30E2B" w:rsidRPr="00C30E2B" w14:paraId="7934CBEB" w14:textId="77777777" w:rsidTr="00C30E2B">
        <w:tc>
          <w:tcPr>
            <w:tcW w:w="3794" w:type="dxa"/>
          </w:tcPr>
          <w:p w14:paraId="61895736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E38C61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RCT </w:t>
            </w:r>
            <w:r w:rsidR="009D0FBA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(26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708D564D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Non-RCT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(8)</w:t>
            </w:r>
          </w:p>
        </w:tc>
      </w:tr>
      <w:tr w:rsidR="00C30E2B" w:rsidRPr="00C30E2B" w14:paraId="621580D9" w14:textId="77777777" w:rsidTr="00C30E2B">
        <w:tc>
          <w:tcPr>
            <w:tcW w:w="3794" w:type="dxa"/>
          </w:tcPr>
          <w:p w14:paraId="797FF1A0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primary care (short)</w:t>
            </w:r>
          </w:p>
        </w:tc>
        <w:tc>
          <w:tcPr>
            <w:tcW w:w="2693" w:type="dxa"/>
          </w:tcPr>
          <w:p w14:paraId="3C657FAF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n/a</w:t>
            </w:r>
          </w:p>
        </w:tc>
        <w:tc>
          <w:tcPr>
            <w:tcW w:w="2693" w:type="dxa"/>
          </w:tcPr>
          <w:p w14:paraId="1CE04075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n/a</w:t>
            </w:r>
          </w:p>
        </w:tc>
      </w:tr>
      <w:tr w:rsidR="00C30E2B" w:rsidRPr="00C30E2B" w14:paraId="0C7CF258" w14:textId="77777777" w:rsidTr="00C30E2B">
        <w:tc>
          <w:tcPr>
            <w:tcW w:w="3794" w:type="dxa"/>
          </w:tcPr>
          <w:p w14:paraId="6DFCF572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secondary care (short)</w:t>
            </w:r>
          </w:p>
        </w:tc>
        <w:tc>
          <w:tcPr>
            <w:tcW w:w="2693" w:type="dxa"/>
          </w:tcPr>
          <w:p w14:paraId="1C6116D8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0.04 (-0.02 to 0.10) 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 w:rsidR="006F6290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17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3B61CD5" w14:textId="77777777" w:rsidR="00C30E2B" w:rsidRPr="00C30E2B" w:rsidRDefault="006F6290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0.17 (-0.11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to 0.45)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(4)</w:t>
            </w:r>
          </w:p>
        </w:tc>
      </w:tr>
      <w:tr w:rsidR="00C30E2B" w:rsidRPr="00C30E2B" w14:paraId="7DCF63F3" w14:textId="77777777" w:rsidTr="00C30E2B">
        <w:tc>
          <w:tcPr>
            <w:tcW w:w="3794" w:type="dxa"/>
          </w:tcPr>
          <w:p w14:paraId="3069E114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EC7E33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Social worker </w:t>
            </w:r>
            <w:r w:rsidR="00A37295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(11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3B264BC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</w:pP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</w:rPr>
              <w:t xml:space="preserve">No social worker </w:t>
            </w:r>
            <w:r w:rsidR="00A37295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(23</w:t>
            </w:r>
            <w:r w:rsidRPr="00C30E2B">
              <w:rPr>
                <w:rFonts w:ascii="Cambria" w:eastAsia="MS Mincho" w:hAnsi="Cambria" w:cs="Times New Roman"/>
                <w:b/>
                <w:sz w:val="24"/>
                <w:szCs w:val="24"/>
                <w:u w:val="single"/>
                <w:vertAlign w:val="superscript"/>
              </w:rPr>
              <w:t>)</w:t>
            </w:r>
          </w:p>
        </w:tc>
      </w:tr>
      <w:tr w:rsidR="00C30E2B" w:rsidRPr="00C30E2B" w14:paraId="34559981" w14:textId="77777777" w:rsidTr="00C30E2B">
        <w:tc>
          <w:tcPr>
            <w:tcW w:w="3794" w:type="dxa"/>
          </w:tcPr>
          <w:p w14:paraId="183A5173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primary care (short)</w:t>
            </w:r>
          </w:p>
        </w:tc>
        <w:tc>
          <w:tcPr>
            <w:tcW w:w="2693" w:type="dxa"/>
          </w:tcPr>
          <w:p w14:paraId="1053591C" w14:textId="77777777" w:rsidR="00C30E2B" w:rsidRPr="00C30E2B" w:rsidRDefault="006F6290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-0.15 (-0.42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to 0.12)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9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688E40B7" w14:textId="77777777" w:rsidR="00C30E2B" w:rsidRPr="00C30E2B" w:rsidRDefault="006F6290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0.04 (-0.03 to 0.11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(5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C30E2B" w:rsidRPr="00C30E2B" w14:paraId="0749541C" w14:textId="77777777" w:rsidTr="00C30E2B">
        <w:tc>
          <w:tcPr>
            <w:tcW w:w="3794" w:type="dxa"/>
          </w:tcPr>
          <w:p w14:paraId="52EEA85A" w14:textId="77777777" w:rsidR="00C30E2B" w:rsidRPr="00C30E2B" w:rsidRDefault="00C30E2B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C30E2B">
              <w:rPr>
                <w:rFonts w:ascii="Cambria" w:eastAsia="MS Mincho" w:hAnsi="Cambria" w:cs="Times New Roman"/>
                <w:sz w:val="24"/>
                <w:szCs w:val="24"/>
              </w:rPr>
              <w:t>Utilisation secondary care (short)</w:t>
            </w:r>
          </w:p>
        </w:tc>
        <w:tc>
          <w:tcPr>
            <w:tcW w:w="2693" w:type="dxa"/>
            <w:shd w:val="clear" w:color="auto" w:fill="auto"/>
          </w:tcPr>
          <w:p w14:paraId="28BD7145" w14:textId="77777777" w:rsidR="00C30E2B" w:rsidRPr="00C30E2B" w:rsidRDefault="006F6290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0.11 (0.01 to 0.22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>)</w:t>
            </w:r>
            <w:r w:rsidR="00B73C97">
              <w:rPr>
                <w:rFonts w:ascii="Cambria" w:eastAsia="MS Mincho" w:hAnsi="Cambria" w:cs="Times New Roman"/>
                <w:sz w:val="24"/>
                <w:szCs w:val="24"/>
              </w:rPr>
              <w:t>*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9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6AF1F1D" w14:textId="77777777" w:rsidR="00C30E2B" w:rsidRPr="00C30E2B" w:rsidRDefault="006F6290" w:rsidP="00C30E2B">
            <w:pPr>
              <w:spacing w:after="0" w:line="240" w:lineRule="auto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</w:rPr>
              <w:t>0.03 (-0.04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 t</w:t>
            </w:r>
            <w:r>
              <w:rPr>
                <w:rFonts w:ascii="Cambria" w:eastAsia="MS Mincho" w:hAnsi="Cambria" w:cs="Times New Roman"/>
                <w:sz w:val="24"/>
                <w:szCs w:val="24"/>
              </w:rPr>
              <w:t>o 0.10</w:t>
            </w:r>
            <w:r w:rsidR="00C30E2B" w:rsidRPr="00C30E2B">
              <w:rPr>
                <w:rFonts w:ascii="Cambria" w:eastAsia="MS Mincho" w:hAnsi="Cambria" w:cs="Times New Roman"/>
                <w:sz w:val="24"/>
                <w:szCs w:val="24"/>
              </w:rPr>
              <w:t xml:space="preserve">) 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12</w:t>
            </w:r>
            <w:r w:rsidR="00C30E2B" w:rsidRPr="00C30E2B">
              <w:rPr>
                <w:rFonts w:ascii="Cambria" w:eastAsia="MS Mincho" w:hAnsi="Cambria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232C6EF8" w14:textId="77777777" w:rsidR="008244A9" w:rsidRPr="008244A9" w:rsidRDefault="00F23165" w:rsidP="008244A9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No</w:t>
      </w:r>
      <w:bookmarkStart w:id="0" w:name="_GoBack"/>
      <w:bookmarkEnd w:id="0"/>
      <w:r w:rsidR="008244A9" w:rsidRPr="008244A9">
        <w:rPr>
          <w:rFonts w:ascii="Cambria" w:eastAsia="MS Mincho" w:hAnsi="Cambria" w:cs="Times New Roman"/>
          <w:sz w:val="24"/>
          <w:szCs w:val="24"/>
        </w:rPr>
        <w:t xml:space="preserve"> significant difference between subgroups (p&lt;0.05)</w:t>
      </w:r>
    </w:p>
    <w:p w14:paraId="7AA9EDCB" w14:textId="77777777" w:rsidR="008244A9" w:rsidRPr="008244A9" w:rsidRDefault="008244A9" w:rsidP="008244A9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</w:rPr>
      </w:pPr>
      <w:r w:rsidRPr="008244A9">
        <w:rPr>
          <w:rFonts w:ascii="Cambria" w:eastAsia="MS Mincho" w:hAnsi="Cambria" w:cs="Times New Roman"/>
          <w:sz w:val="24"/>
          <w:szCs w:val="24"/>
        </w:rPr>
        <w:t>* = significant in-subgroup effect (p&lt;0.05)</w:t>
      </w:r>
    </w:p>
    <w:p w14:paraId="64146C72" w14:textId="77777777" w:rsidR="008244A9" w:rsidRPr="008244A9" w:rsidRDefault="008244A9" w:rsidP="008244A9">
      <w:pPr>
        <w:spacing w:after="0" w:line="480" w:lineRule="auto"/>
        <w:jc w:val="left"/>
        <w:rPr>
          <w:rFonts w:ascii="Helvetica" w:eastAsia="MS Mincho" w:hAnsi="Helvetica" w:cs="Times New Roman"/>
          <w:color w:val="345A8A"/>
          <w:sz w:val="24"/>
          <w:szCs w:val="24"/>
        </w:rPr>
      </w:pPr>
      <w:r w:rsidRPr="008244A9">
        <w:rPr>
          <w:rFonts w:ascii="Cambria" w:eastAsia="MS Mincho" w:hAnsi="Cambria" w:cs="Times New Roman"/>
          <w:i/>
          <w:sz w:val="24"/>
          <w:szCs w:val="24"/>
        </w:rPr>
        <w:t>Note</w:t>
      </w:r>
      <w:r w:rsidRPr="008244A9">
        <w:rPr>
          <w:rFonts w:ascii="Cambria" w:eastAsia="MS Mincho" w:hAnsi="Cambria" w:cs="Times New Roman"/>
          <w:sz w:val="24"/>
          <w:szCs w:val="24"/>
        </w:rPr>
        <w:t>: Positive effect size favours case management for all measures</w:t>
      </w:r>
    </w:p>
    <w:p w14:paraId="7E913A3C" w14:textId="77777777" w:rsidR="00C30E2B" w:rsidRDefault="00C30E2B" w:rsidP="00C30E2B"/>
    <w:p w14:paraId="2474146C" w14:textId="77777777" w:rsidR="00E610F7" w:rsidRDefault="00E610F7" w:rsidP="00C30E2B"/>
    <w:p w14:paraId="14403A32" w14:textId="77777777" w:rsidR="00E610F7" w:rsidRDefault="00E610F7" w:rsidP="00C30E2B"/>
    <w:p w14:paraId="7F054429" w14:textId="77777777" w:rsidR="00E610F7" w:rsidRDefault="00E610F7" w:rsidP="00C30E2B"/>
    <w:p w14:paraId="0814DB59" w14:textId="77777777" w:rsidR="00E610F7" w:rsidRDefault="00E610F7" w:rsidP="00C30E2B"/>
    <w:p w14:paraId="232FA1F3" w14:textId="77777777" w:rsidR="00E610F7" w:rsidRDefault="00E610F7" w:rsidP="00C30E2B"/>
    <w:p w14:paraId="7564BF17" w14:textId="77777777" w:rsidR="00E610F7" w:rsidRDefault="00E610F7" w:rsidP="00C30E2B"/>
    <w:p w14:paraId="3503D110" w14:textId="77777777" w:rsidR="00E610F7" w:rsidRDefault="00E610F7" w:rsidP="00C30E2B"/>
    <w:p w14:paraId="6E782874" w14:textId="77777777" w:rsidR="00E610F7" w:rsidRDefault="00E610F7" w:rsidP="00C30E2B"/>
    <w:p w14:paraId="12B4DB96" w14:textId="77777777" w:rsidR="00E610F7" w:rsidRDefault="00E610F7" w:rsidP="00C30E2B"/>
    <w:p w14:paraId="3F58BD45" w14:textId="77777777" w:rsidR="00E610F7" w:rsidRDefault="00E610F7" w:rsidP="00C30E2B"/>
    <w:p w14:paraId="4A61C73F" w14:textId="77777777" w:rsidR="00E610F7" w:rsidRDefault="00E610F7" w:rsidP="00C30E2B"/>
    <w:p w14:paraId="2425AB28" w14:textId="77777777" w:rsidR="00E610F7" w:rsidRDefault="00E610F7" w:rsidP="00C30E2B"/>
    <w:p w14:paraId="5423ED41" w14:textId="77777777" w:rsidR="00E610F7" w:rsidRDefault="00E610F7" w:rsidP="00C30E2B"/>
    <w:p w14:paraId="0151BAA6" w14:textId="77777777" w:rsidR="00E610F7" w:rsidRDefault="00E610F7" w:rsidP="00C30E2B"/>
    <w:p w14:paraId="3772123A" w14:textId="77777777" w:rsidR="00E610F7" w:rsidRDefault="00E610F7" w:rsidP="00C30E2B"/>
    <w:p w14:paraId="2E31FD16" w14:textId="77777777" w:rsidR="00E610F7" w:rsidRDefault="00E610F7" w:rsidP="00E610F7">
      <w:pPr>
        <w:pStyle w:val="Heading1"/>
      </w:pPr>
      <w:r w:rsidRPr="004C4044">
        <w:lastRenderedPageBreak/>
        <w:t xml:space="preserve">Results of the sensitivity analysis excluding studies </w:t>
      </w:r>
      <w:r>
        <w:t>conducted in Veteran’s settings (over 90% male population)</w:t>
      </w:r>
      <w:r w:rsidR="0062329B">
        <w:t>*</w:t>
      </w:r>
    </w:p>
    <w:p w14:paraId="4EC6F4E8" w14:textId="77777777" w:rsidR="00223FD5" w:rsidRPr="00223FD5" w:rsidRDefault="00223FD5" w:rsidP="00223FD5"/>
    <w:p w14:paraId="41AE3FCC" w14:textId="77777777" w:rsidR="00223FD5" w:rsidRPr="00223FD5" w:rsidRDefault="0062329B" w:rsidP="00223FD5">
      <w:pPr>
        <w:rPr>
          <w:b/>
        </w:rPr>
      </w:pPr>
      <w:r>
        <w:rPr>
          <w:b/>
        </w:rPr>
        <w:t xml:space="preserve">* </w:t>
      </w:r>
      <w:r w:rsidR="00223FD5" w:rsidRPr="00223FD5">
        <w:rPr>
          <w:b/>
        </w:rPr>
        <w:t>No significant results remain following Holm-Bonferroni correction for multiple comparisons</w:t>
      </w:r>
    </w:p>
    <w:p w14:paraId="54D254F1" w14:textId="77777777" w:rsidR="00E610F7" w:rsidRPr="00E610F7" w:rsidRDefault="00E610F7" w:rsidP="00E610F7"/>
    <w:p w14:paraId="2411879B" w14:textId="77777777" w:rsidR="00E610F7" w:rsidRDefault="00E610F7" w:rsidP="00E610F7">
      <w:pPr>
        <w:pStyle w:val="Heading2"/>
      </w:pPr>
      <w:r>
        <w:t>Primary analysis – sensitivity analysis</w:t>
      </w:r>
    </w:p>
    <w:p w14:paraId="4F8C07EB" w14:textId="77777777" w:rsidR="00E610F7" w:rsidRDefault="00223FD5" w:rsidP="00C30E2B">
      <w:r>
        <w:rPr>
          <w:noProof/>
          <w:lang w:val="en-US"/>
        </w:rPr>
        <w:drawing>
          <wp:inline distT="0" distB="0" distL="0" distR="0" wp14:anchorId="105153ED" wp14:editId="1B0D694A">
            <wp:extent cx="5731510" cy="46056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AE91" w14:textId="77777777" w:rsidR="00223FD5" w:rsidRDefault="00223FD5" w:rsidP="00C30E2B">
      <w:r>
        <w:rPr>
          <w:noProof/>
          <w:lang w:val="en-US"/>
        </w:rPr>
        <w:lastRenderedPageBreak/>
        <w:drawing>
          <wp:inline distT="0" distB="0" distL="0" distR="0" wp14:anchorId="6C8D0C94" wp14:editId="7A287BA7">
            <wp:extent cx="5731510" cy="5189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D59B" w14:textId="77777777" w:rsidR="00223FD5" w:rsidRDefault="00223FD5" w:rsidP="00C30E2B">
      <w:r>
        <w:rPr>
          <w:noProof/>
          <w:lang w:val="en-US"/>
        </w:rPr>
        <w:lastRenderedPageBreak/>
        <w:drawing>
          <wp:inline distT="0" distB="0" distL="0" distR="0" wp14:anchorId="7E1CB977" wp14:editId="2F03F78D">
            <wp:extent cx="5731510" cy="454533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687C" w14:textId="77777777" w:rsidR="00223FD5" w:rsidRDefault="00223FD5" w:rsidP="00C30E2B">
      <w:r>
        <w:rPr>
          <w:noProof/>
          <w:lang w:val="en-US"/>
        </w:rPr>
        <w:lastRenderedPageBreak/>
        <w:drawing>
          <wp:inline distT="0" distB="0" distL="0" distR="0" wp14:anchorId="463CB6A9" wp14:editId="22385474">
            <wp:extent cx="5731510" cy="50495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3A54" w14:textId="77777777" w:rsidR="00223FD5" w:rsidRDefault="00223FD5" w:rsidP="00C30E2B">
      <w:r>
        <w:rPr>
          <w:noProof/>
          <w:lang w:val="en-US"/>
        </w:rPr>
        <w:lastRenderedPageBreak/>
        <w:drawing>
          <wp:inline distT="0" distB="0" distL="0" distR="0" wp14:anchorId="660C9E8F" wp14:editId="0D2BCB8A">
            <wp:extent cx="5731510" cy="502793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AE31" w14:textId="77777777" w:rsidR="00223FD5" w:rsidRDefault="00223FD5" w:rsidP="00C30E2B">
      <w:r>
        <w:rPr>
          <w:noProof/>
          <w:lang w:val="en-US"/>
        </w:rPr>
        <w:lastRenderedPageBreak/>
        <w:drawing>
          <wp:inline distT="0" distB="0" distL="0" distR="0" wp14:anchorId="642C1CB6" wp14:editId="0B565912">
            <wp:extent cx="5731510" cy="589534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4313" w14:textId="77777777" w:rsidR="00E610F7" w:rsidRDefault="00E610F7" w:rsidP="00C30E2B"/>
    <w:p w14:paraId="62100F5C" w14:textId="77777777" w:rsidR="00F54016" w:rsidRDefault="00F54016" w:rsidP="00C30E2B"/>
    <w:p w14:paraId="1D2A2600" w14:textId="77777777" w:rsidR="00F54016" w:rsidRDefault="00F54016" w:rsidP="00C30E2B"/>
    <w:p w14:paraId="75007EDA" w14:textId="77777777" w:rsidR="00F54016" w:rsidRDefault="00F54016" w:rsidP="00C30E2B"/>
    <w:p w14:paraId="2F0F5B85" w14:textId="77777777" w:rsidR="00F54016" w:rsidRDefault="00F54016" w:rsidP="00C30E2B"/>
    <w:p w14:paraId="7B36CD90" w14:textId="77777777" w:rsidR="00F54016" w:rsidRDefault="00F54016" w:rsidP="00C30E2B"/>
    <w:p w14:paraId="0078FBC3" w14:textId="77777777" w:rsidR="00F54016" w:rsidRDefault="00F54016" w:rsidP="00C30E2B"/>
    <w:p w14:paraId="3C5F116D" w14:textId="77777777" w:rsidR="00F54016" w:rsidRDefault="00F54016" w:rsidP="00C30E2B"/>
    <w:p w14:paraId="262C552C" w14:textId="77777777" w:rsidR="00F54016" w:rsidRDefault="00F54016" w:rsidP="00C30E2B"/>
    <w:p w14:paraId="0DCC3E5F" w14:textId="77777777" w:rsidR="00E610F7" w:rsidRDefault="00E610F7" w:rsidP="00E610F7">
      <w:pPr>
        <w:pStyle w:val="Heading2"/>
      </w:pPr>
      <w:r>
        <w:lastRenderedPageBreak/>
        <w:t>Secondary analysis – sensitivity analysis</w:t>
      </w:r>
    </w:p>
    <w:tbl>
      <w:tblPr>
        <w:tblStyle w:val="TableGrid11"/>
        <w:tblW w:w="9180" w:type="dxa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F54016" w:rsidRPr="00F54016" w14:paraId="5F672A5D" w14:textId="77777777" w:rsidTr="00723496">
        <w:tc>
          <w:tcPr>
            <w:tcW w:w="3794" w:type="dxa"/>
          </w:tcPr>
          <w:p w14:paraId="6F817DA1" w14:textId="77777777" w:rsidR="00F54016" w:rsidRPr="00F54016" w:rsidRDefault="00F54016" w:rsidP="00F54016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>Outcome (time-period)</w:t>
            </w:r>
          </w:p>
        </w:tc>
        <w:tc>
          <w:tcPr>
            <w:tcW w:w="5386" w:type="dxa"/>
            <w:gridSpan w:val="2"/>
          </w:tcPr>
          <w:p w14:paraId="55BD6F64" w14:textId="77777777" w:rsidR="00F54016" w:rsidRPr="00F54016" w:rsidRDefault="00F54016" w:rsidP="00F54016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Subgroup effect size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(number of studies)</w:t>
            </w:r>
          </w:p>
        </w:tc>
      </w:tr>
      <w:tr w:rsidR="00F54016" w:rsidRPr="00F54016" w14:paraId="320AADB5" w14:textId="77777777" w:rsidTr="00723496">
        <w:tc>
          <w:tcPr>
            <w:tcW w:w="3794" w:type="dxa"/>
          </w:tcPr>
          <w:p w14:paraId="13D1263A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14:paraId="59B43CE3" w14:textId="77777777" w:rsidR="00F54016" w:rsidRPr="00F54016" w:rsidRDefault="00F54016" w:rsidP="00E4565B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MDT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E4565B">
              <w:rPr>
                <w:rFonts w:ascii="Cambria" w:hAnsi="Cambria" w:cs="Times New Roman"/>
                <w:b/>
                <w:u w:val="single"/>
                <w:vertAlign w:val="superscript"/>
              </w:rPr>
              <w:t>19)</w:t>
            </w:r>
          </w:p>
        </w:tc>
        <w:tc>
          <w:tcPr>
            <w:tcW w:w="2693" w:type="dxa"/>
          </w:tcPr>
          <w:p w14:paraId="7290A4AE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Single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E4565B">
              <w:rPr>
                <w:rFonts w:ascii="Cambria" w:hAnsi="Cambria" w:cs="Times New Roman"/>
                <w:b/>
                <w:u w:val="single"/>
                <w:vertAlign w:val="superscript"/>
              </w:rPr>
              <w:t>12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</w:tr>
      <w:tr w:rsidR="00F54016" w:rsidRPr="00F54016" w14:paraId="06B59D70" w14:textId="77777777" w:rsidTr="00723496">
        <w:tc>
          <w:tcPr>
            <w:tcW w:w="3794" w:type="dxa"/>
          </w:tcPr>
          <w:p w14:paraId="5EB6D464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(short)</w:t>
            </w:r>
          </w:p>
        </w:tc>
        <w:tc>
          <w:tcPr>
            <w:tcW w:w="2693" w:type="dxa"/>
            <w:shd w:val="clear" w:color="auto" w:fill="auto"/>
          </w:tcPr>
          <w:p w14:paraId="26FEDFCA" w14:textId="77777777" w:rsidR="00F54016" w:rsidRPr="00F54016" w:rsidRDefault="00D7165A" w:rsidP="00F54016">
            <w:pPr>
              <w:rPr>
                <w:rFonts w:ascii="Cambria" w:hAnsi="Cambria" w:cs="Times New Roman"/>
                <w:b/>
                <w:color w:val="FFFFFF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1ADC0B99" w14:textId="77777777" w:rsidR="00F54016" w:rsidRPr="00F54016" w:rsidRDefault="00D7165A" w:rsidP="00F5401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3764A06B" w14:textId="77777777" w:rsidTr="00723496">
        <w:tc>
          <w:tcPr>
            <w:tcW w:w="3794" w:type="dxa"/>
          </w:tcPr>
          <w:p w14:paraId="006595A7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(long)</w:t>
            </w:r>
          </w:p>
        </w:tc>
        <w:tc>
          <w:tcPr>
            <w:tcW w:w="2693" w:type="dxa"/>
          </w:tcPr>
          <w:p w14:paraId="542AD17A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0.01</w:t>
            </w:r>
            <w:r w:rsidR="00F54016" w:rsidRPr="00F5401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(-0.08 to 0.10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>
              <w:rPr>
                <w:rFonts w:ascii="Cambria" w:hAnsi="Cambria" w:cs="Times New Roman"/>
                <w:b/>
                <w:vertAlign w:val="superscript"/>
              </w:rPr>
              <w:t>(4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9B31CCD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0.01 (-0.08 to 0.10)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(7)</w:t>
            </w:r>
          </w:p>
        </w:tc>
      </w:tr>
      <w:tr w:rsidR="00F54016" w:rsidRPr="00F54016" w14:paraId="7F7631C7" w14:textId="77777777" w:rsidTr="00723496">
        <w:tc>
          <w:tcPr>
            <w:tcW w:w="3794" w:type="dxa"/>
          </w:tcPr>
          <w:p w14:paraId="2A6AE856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Self-rated health (short)</w:t>
            </w:r>
          </w:p>
        </w:tc>
        <w:tc>
          <w:tcPr>
            <w:tcW w:w="2693" w:type="dxa"/>
            <w:shd w:val="clear" w:color="auto" w:fill="auto"/>
          </w:tcPr>
          <w:p w14:paraId="625FFF4F" w14:textId="77777777" w:rsidR="00F54016" w:rsidRPr="00F54016" w:rsidRDefault="00592226" w:rsidP="00F54016">
            <w:pPr>
              <w:rPr>
                <w:rFonts w:ascii="Cambria" w:hAnsi="Cambria" w:cs="Times New Roman"/>
                <w:color w:val="FFFFFF"/>
              </w:rPr>
            </w:pPr>
            <w:r>
              <w:rPr>
                <w:rFonts w:ascii="Cambria" w:hAnsi="Cambria" w:cs="Times New Roman"/>
              </w:rPr>
              <w:t>0.13</w:t>
            </w:r>
            <w:r w:rsidR="00F54016" w:rsidRPr="00F54016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-0.03 to 0.29)</w:t>
            </w:r>
            <w:r w:rsidR="00F54016" w:rsidRPr="00F54016">
              <w:rPr>
                <w:rFonts w:ascii="Cambria" w:hAnsi="Cambria" w:cs="Times New Roman"/>
              </w:rPr>
              <w:t xml:space="preserve">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6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17D27243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0.00 (-0.05 to 0.06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>
              <w:rPr>
                <w:rFonts w:ascii="Cambria" w:hAnsi="Cambria" w:cs="Times New Roman"/>
                <w:b/>
                <w:vertAlign w:val="superscript"/>
              </w:rPr>
              <w:t>(4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1449152B" w14:textId="77777777" w:rsidTr="00723496">
        <w:tc>
          <w:tcPr>
            <w:tcW w:w="3794" w:type="dxa"/>
          </w:tcPr>
          <w:p w14:paraId="74609D65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primary care (short)</w:t>
            </w:r>
          </w:p>
        </w:tc>
        <w:tc>
          <w:tcPr>
            <w:tcW w:w="2693" w:type="dxa"/>
          </w:tcPr>
          <w:p w14:paraId="39832081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</w:t>
            </w:r>
            <w:r w:rsidR="00F54016" w:rsidRPr="00F54016">
              <w:rPr>
                <w:rFonts w:ascii="Cambria" w:hAnsi="Cambria" w:cs="Times New Roman"/>
              </w:rPr>
              <w:t>0</w:t>
            </w:r>
            <w:r>
              <w:rPr>
                <w:rFonts w:ascii="Cambria" w:hAnsi="Cambria" w:cs="Times New Roman"/>
              </w:rPr>
              <w:t>1 (-0.14 to 0.15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10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7682D598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-0.09 (-0.30 to 0.12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3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61F22D71" w14:textId="77777777" w:rsidTr="00723496">
        <w:tc>
          <w:tcPr>
            <w:tcW w:w="3794" w:type="dxa"/>
          </w:tcPr>
          <w:p w14:paraId="52BDCA4B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(short)</w:t>
            </w:r>
          </w:p>
        </w:tc>
        <w:tc>
          <w:tcPr>
            <w:tcW w:w="2693" w:type="dxa"/>
          </w:tcPr>
          <w:p w14:paraId="56067783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0.08 (-0.03 to 0.19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13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123B561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0.03 (-0.10 to 0.15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5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2C90F827" w14:textId="77777777" w:rsidTr="00723496">
        <w:tc>
          <w:tcPr>
            <w:tcW w:w="3794" w:type="dxa"/>
          </w:tcPr>
          <w:p w14:paraId="22C634C6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(long)</w:t>
            </w:r>
          </w:p>
        </w:tc>
        <w:tc>
          <w:tcPr>
            <w:tcW w:w="2693" w:type="dxa"/>
          </w:tcPr>
          <w:p w14:paraId="28E358E9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0.02 (-0.06</w:t>
            </w:r>
            <w:r w:rsidR="00F54016" w:rsidRPr="00F54016">
              <w:rPr>
                <w:rFonts w:ascii="Cambria" w:hAnsi="Cambria" w:cs="Times New Roman"/>
              </w:rPr>
              <w:t xml:space="preserve"> to 0.09)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7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34D6B956" w14:textId="77777777" w:rsidR="00F54016" w:rsidRPr="00F54016" w:rsidRDefault="00592226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-0.10 (-0.22 to 0.0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6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321489BB" w14:textId="77777777" w:rsidTr="00723496">
        <w:tc>
          <w:tcPr>
            <w:tcW w:w="3794" w:type="dxa"/>
          </w:tcPr>
          <w:p w14:paraId="508CB6D3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</w:tcPr>
          <w:p w14:paraId="414EA182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Low PHC score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835796">
              <w:rPr>
                <w:rFonts w:ascii="Cambria" w:hAnsi="Cambria" w:cs="Times New Roman"/>
                <w:b/>
                <w:u w:val="single"/>
                <w:vertAlign w:val="superscript"/>
              </w:rPr>
              <w:t>18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096BE70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Int/high PHC score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(13)</w:t>
            </w:r>
          </w:p>
        </w:tc>
      </w:tr>
      <w:tr w:rsidR="00F54016" w:rsidRPr="00F54016" w14:paraId="4A5D7F89" w14:textId="77777777" w:rsidTr="00723496">
        <w:tc>
          <w:tcPr>
            <w:tcW w:w="3794" w:type="dxa"/>
          </w:tcPr>
          <w:p w14:paraId="58F4A9D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(short)</w:t>
            </w:r>
          </w:p>
        </w:tc>
        <w:tc>
          <w:tcPr>
            <w:tcW w:w="2693" w:type="dxa"/>
          </w:tcPr>
          <w:p w14:paraId="3D25944F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65B77702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56C5B08B" w14:textId="77777777" w:rsidTr="00723496">
        <w:tc>
          <w:tcPr>
            <w:tcW w:w="3794" w:type="dxa"/>
          </w:tcPr>
          <w:p w14:paraId="7FF2959D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(long)</w:t>
            </w:r>
          </w:p>
        </w:tc>
        <w:tc>
          <w:tcPr>
            <w:tcW w:w="2693" w:type="dxa"/>
          </w:tcPr>
          <w:p w14:paraId="1862A8FD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0.04 (-0.02 to 0.11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1BF9BC9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-0.10 (-0.27 to 0.08)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(3)</w:t>
            </w:r>
          </w:p>
        </w:tc>
      </w:tr>
      <w:tr w:rsidR="00F54016" w:rsidRPr="00F54016" w14:paraId="51138A65" w14:textId="77777777" w:rsidTr="00723496">
        <w:tc>
          <w:tcPr>
            <w:tcW w:w="3794" w:type="dxa"/>
          </w:tcPr>
          <w:p w14:paraId="7912B8B5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Self-rated health (short)</w:t>
            </w:r>
          </w:p>
        </w:tc>
        <w:tc>
          <w:tcPr>
            <w:tcW w:w="2693" w:type="dxa"/>
            <w:shd w:val="clear" w:color="auto" w:fill="auto"/>
          </w:tcPr>
          <w:p w14:paraId="5E44ED64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0.12</w:t>
            </w:r>
            <w:r w:rsidR="00F54016" w:rsidRPr="00F54016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-0.05 to 0.29)</w:t>
            </w:r>
            <w:r w:rsidR="00F54016" w:rsidRPr="00F54016">
              <w:rPr>
                <w:rFonts w:ascii="Cambria" w:hAnsi="Cambria" w:cs="Times New Roman"/>
              </w:rPr>
              <w:t xml:space="preserve">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4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1553F610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0.03 (-0.08 to 0.13)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(6)</w:t>
            </w:r>
          </w:p>
        </w:tc>
      </w:tr>
      <w:tr w:rsidR="00F54016" w:rsidRPr="00F54016" w14:paraId="3EADFF35" w14:textId="77777777" w:rsidTr="00723496">
        <w:tc>
          <w:tcPr>
            <w:tcW w:w="3794" w:type="dxa"/>
          </w:tcPr>
          <w:p w14:paraId="75B12293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primary care (short)</w:t>
            </w:r>
          </w:p>
        </w:tc>
        <w:tc>
          <w:tcPr>
            <w:tcW w:w="2693" w:type="dxa"/>
          </w:tcPr>
          <w:p w14:paraId="27885219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-0.04 (-0.19 to 0.11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33C243C1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-0.00 (-0.20 to 0.20)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(5)</w:t>
            </w:r>
          </w:p>
        </w:tc>
      </w:tr>
      <w:tr w:rsidR="00F54016" w:rsidRPr="00F54016" w14:paraId="0B32207D" w14:textId="77777777" w:rsidTr="00723496">
        <w:tc>
          <w:tcPr>
            <w:tcW w:w="3794" w:type="dxa"/>
          </w:tcPr>
          <w:p w14:paraId="342461A8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(short)</w:t>
            </w:r>
          </w:p>
        </w:tc>
        <w:tc>
          <w:tcPr>
            <w:tcW w:w="2693" w:type="dxa"/>
          </w:tcPr>
          <w:p w14:paraId="72C335DB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0.03 (-0.05 to 0.10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11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45F60BD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0.08 (-0.10 to 0.26)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(7)</w:t>
            </w:r>
          </w:p>
        </w:tc>
      </w:tr>
      <w:tr w:rsidR="00F54016" w:rsidRPr="00F54016" w14:paraId="1D5D5383" w14:textId="77777777" w:rsidTr="00723496">
        <w:tc>
          <w:tcPr>
            <w:tcW w:w="3794" w:type="dxa"/>
          </w:tcPr>
          <w:p w14:paraId="1D1510E9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(long)</w:t>
            </w:r>
          </w:p>
        </w:tc>
        <w:tc>
          <w:tcPr>
            <w:tcW w:w="2693" w:type="dxa"/>
          </w:tcPr>
          <w:p w14:paraId="4C3688A5" w14:textId="77777777" w:rsidR="00F54016" w:rsidRPr="00F54016" w:rsidRDefault="00080EC8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-0.05 (-0.15</w:t>
            </w:r>
            <w:r w:rsidR="00F54016" w:rsidRPr="00F54016">
              <w:rPr>
                <w:rFonts w:ascii="Cambria" w:hAnsi="Cambria" w:cs="Times New Roman"/>
              </w:rPr>
              <w:t xml:space="preserve"> to 0.05)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6324FF26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-0.02 (-0.12 to 0.07)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(5)</w:t>
            </w:r>
          </w:p>
        </w:tc>
      </w:tr>
      <w:tr w:rsidR="00F54016" w:rsidRPr="00F54016" w14:paraId="7369AFF3" w14:textId="77777777" w:rsidTr="00723496">
        <w:tc>
          <w:tcPr>
            <w:tcW w:w="3794" w:type="dxa"/>
          </w:tcPr>
          <w:p w14:paraId="205981FD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</w:tcPr>
          <w:p w14:paraId="24DC7FA2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Clinical Judgement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(4)</w:t>
            </w:r>
          </w:p>
        </w:tc>
        <w:tc>
          <w:tcPr>
            <w:tcW w:w="2693" w:type="dxa"/>
          </w:tcPr>
          <w:p w14:paraId="3A193096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Risk modelling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9C00D0">
              <w:rPr>
                <w:rFonts w:ascii="Cambria" w:hAnsi="Cambria" w:cs="Times New Roman"/>
                <w:b/>
                <w:u w:val="single"/>
                <w:vertAlign w:val="superscript"/>
              </w:rPr>
              <w:t>27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</w:tr>
      <w:tr w:rsidR="00F54016" w:rsidRPr="00F54016" w14:paraId="6673CA81" w14:textId="77777777" w:rsidTr="00723496">
        <w:tc>
          <w:tcPr>
            <w:tcW w:w="3794" w:type="dxa"/>
          </w:tcPr>
          <w:p w14:paraId="388FE5BA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(short)</w:t>
            </w:r>
          </w:p>
        </w:tc>
        <w:tc>
          <w:tcPr>
            <w:tcW w:w="2693" w:type="dxa"/>
            <w:shd w:val="clear" w:color="auto" w:fill="auto"/>
          </w:tcPr>
          <w:p w14:paraId="036CF281" w14:textId="77777777" w:rsidR="00F54016" w:rsidRPr="00F54016" w:rsidRDefault="0035616A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05A001DA" w14:textId="77777777" w:rsidR="00F54016" w:rsidRPr="00F54016" w:rsidRDefault="0035616A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6139642F" w14:textId="77777777" w:rsidTr="00723496">
        <w:tc>
          <w:tcPr>
            <w:tcW w:w="3794" w:type="dxa"/>
          </w:tcPr>
          <w:p w14:paraId="032CAD8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(long)</w:t>
            </w:r>
          </w:p>
        </w:tc>
        <w:tc>
          <w:tcPr>
            <w:tcW w:w="2693" w:type="dxa"/>
          </w:tcPr>
          <w:p w14:paraId="640AC945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-0.02 (-0.30 to 0.26)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(2)</w:t>
            </w:r>
          </w:p>
        </w:tc>
        <w:tc>
          <w:tcPr>
            <w:tcW w:w="2693" w:type="dxa"/>
          </w:tcPr>
          <w:p w14:paraId="0CD84E1D" w14:textId="77777777" w:rsidR="00F54016" w:rsidRPr="00F54016" w:rsidRDefault="0035616A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0.01 (-0.06 to 0.08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9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60BAAD96" w14:textId="77777777" w:rsidTr="00723496">
        <w:tc>
          <w:tcPr>
            <w:tcW w:w="3794" w:type="dxa"/>
          </w:tcPr>
          <w:p w14:paraId="71C53B02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Self-rated health (short)</w:t>
            </w:r>
          </w:p>
        </w:tc>
        <w:tc>
          <w:tcPr>
            <w:tcW w:w="2693" w:type="dxa"/>
          </w:tcPr>
          <w:p w14:paraId="3675B70F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5CFC93B0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41317E43" w14:textId="77777777" w:rsidTr="00723496">
        <w:tc>
          <w:tcPr>
            <w:tcW w:w="3794" w:type="dxa"/>
          </w:tcPr>
          <w:p w14:paraId="74A24DD9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primary care (short)</w:t>
            </w:r>
          </w:p>
        </w:tc>
        <w:tc>
          <w:tcPr>
            <w:tcW w:w="2693" w:type="dxa"/>
          </w:tcPr>
          <w:p w14:paraId="11916F6D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136C6A2A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7F4E4900" w14:textId="77777777" w:rsidTr="00723496">
        <w:tc>
          <w:tcPr>
            <w:tcW w:w="3794" w:type="dxa"/>
          </w:tcPr>
          <w:p w14:paraId="22C5A23D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(short)</w:t>
            </w:r>
          </w:p>
        </w:tc>
        <w:tc>
          <w:tcPr>
            <w:tcW w:w="2693" w:type="dxa"/>
          </w:tcPr>
          <w:p w14:paraId="12EDC618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-0.06 (-0.18 to 0.06)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(3)</w:t>
            </w:r>
          </w:p>
        </w:tc>
        <w:tc>
          <w:tcPr>
            <w:tcW w:w="2693" w:type="dxa"/>
            <w:shd w:val="clear" w:color="auto" w:fill="auto"/>
          </w:tcPr>
          <w:p w14:paraId="46D54895" w14:textId="77777777" w:rsidR="00F54016" w:rsidRPr="00F54016" w:rsidRDefault="00BD39D5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0.09 (-0.00 to 0.18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15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02770519" w14:textId="77777777" w:rsidTr="00723496">
        <w:tc>
          <w:tcPr>
            <w:tcW w:w="3794" w:type="dxa"/>
          </w:tcPr>
          <w:p w14:paraId="79539323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(long)</w:t>
            </w:r>
          </w:p>
        </w:tc>
        <w:tc>
          <w:tcPr>
            <w:tcW w:w="2693" w:type="dxa"/>
          </w:tcPr>
          <w:p w14:paraId="16409596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-0.01 (-0.15 to 0.14)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(3)</w:t>
            </w:r>
          </w:p>
        </w:tc>
        <w:tc>
          <w:tcPr>
            <w:tcW w:w="2693" w:type="dxa"/>
          </w:tcPr>
          <w:p w14:paraId="46B75650" w14:textId="77777777" w:rsidR="00F54016" w:rsidRPr="00F54016" w:rsidRDefault="00BD39D5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-0.04 (-0.13</w:t>
            </w:r>
            <w:r w:rsidR="00F54016" w:rsidRPr="00F54016">
              <w:rPr>
                <w:rFonts w:ascii="Cambria" w:hAnsi="Cambria" w:cs="Times New Roman"/>
              </w:rPr>
              <w:t xml:space="preserve"> to 0.04)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10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523645BA" w14:textId="77777777" w:rsidTr="00723496">
        <w:tc>
          <w:tcPr>
            <w:tcW w:w="3794" w:type="dxa"/>
          </w:tcPr>
          <w:p w14:paraId="2B0B2EE1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</w:tcPr>
          <w:p w14:paraId="67123A51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RCT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835796">
              <w:rPr>
                <w:rFonts w:ascii="Cambria" w:hAnsi="Cambria" w:cs="Times New Roman"/>
                <w:b/>
                <w:u w:val="single"/>
                <w:vertAlign w:val="superscript"/>
              </w:rPr>
              <w:t>23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41541855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Non-RCT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(8)</w:t>
            </w:r>
          </w:p>
        </w:tc>
      </w:tr>
      <w:tr w:rsidR="00F54016" w:rsidRPr="00F54016" w14:paraId="6FF1A6A2" w14:textId="77777777" w:rsidTr="00723496">
        <w:tc>
          <w:tcPr>
            <w:tcW w:w="3794" w:type="dxa"/>
          </w:tcPr>
          <w:p w14:paraId="071DCA0A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(short)</w:t>
            </w:r>
          </w:p>
        </w:tc>
        <w:tc>
          <w:tcPr>
            <w:tcW w:w="2693" w:type="dxa"/>
          </w:tcPr>
          <w:p w14:paraId="1CDC9077" w14:textId="77777777" w:rsidR="00F54016" w:rsidRPr="00F54016" w:rsidRDefault="00A25CA2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549EECDC" w14:textId="77777777" w:rsidR="00F54016" w:rsidRPr="00F54016" w:rsidRDefault="00A25CA2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0B96A230" w14:textId="77777777" w:rsidTr="00723496">
        <w:tc>
          <w:tcPr>
            <w:tcW w:w="3794" w:type="dxa"/>
          </w:tcPr>
          <w:p w14:paraId="24929894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(long)</w:t>
            </w:r>
          </w:p>
        </w:tc>
        <w:tc>
          <w:tcPr>
            <w:tcW w:w="2693" w:type="dxa"/>
          </w:tcPr>
          <w:p w14:paraId="26F425D5" w14:textId="77777777" w:rsidR="00F54016" w:rsidRPr="00F54016" w:rsidRDefault="00A25CA2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0.01 (-0.06 to 0.08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7F5C1B77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-0.00 (-0.18 to 0.17)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(3)</w:t>
            </w:r>
          </w:p>
        </w:tc>
      </w:tr>
      <w:tr w:rsidR="00F54016" w:rsidRPr="00F54016" w14:paraId="1C4C4974" w14:textId="77777777" w:rsidTr="00723496">
        <w:tc>
          <w:tcPr>
            <w:tcW w:w="3794" w:type="dxa"/>
          </w:tcPr>
          <w:p w14:paraId="2CD8CBF4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Self-rated health (short)</w:t>
            </w:r>
          </w:p>
        </w:tc>
        <w:tc>
          <w:tcPr>
            <w:tcW w:w="2693" w:type="dxa"/>
          </w:tcPr>
          <w:p w14:paraId="1415122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07672D94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5E49954B" w14:textId="77777777" w:rsidTr="00723496">
        <w:tc>
          <w:tcPr>
            <w:tcW w:w="3794" w:type="dxa"/>
          </w:tcPr>
          <w:p w14:paraId="35AAB3F1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primary care (short)</w:t>
            </w:r>
          </w:p>
        </w:tc>
        <w:tc>
          <w:tcPr>
            <w:tcW w:w="2693" w:type="dxa"/>
          </w:tcPr>
          <w:p w14:paraId="70C6055B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77C867F8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284515F3" w14:textId="77777777" w:rsidTr="00723496">
        <w:tc>
          <w:tcPr>
            <w:tcW w:w="3794" w:type="dxa"/>
          </w:tcPr>
          <w:p w14:paraId="47F1565B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(short)</w:t>
            </w:r>
          </w:p>
        </w:tc>
        <w:tc>
          <w:tcPr>
            <w:tcW w:w="2693" w:type="dxa"/>
          </w:tcPr>
          <w:p w14:paraId="108AC16B" w14:textId="77777777" w:rsidR="00F54016" w:rsidRPr="00F54016" w:rsidRDefault="00A25CA2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0.05 (-0.04 to 0.13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14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362AEFFA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0.17 (-0.11 to 0.45)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(4)</w:t>
            </w:r>
          </w:p>
        </w:tc>
      </w:tr>
      <w:tr w:rsidR="00F54016" w:rsidRPr="00F54016" w14:paraId="36CB35E3" w14:textId="77777777" w:rsidTr="00723496">
        <w:tc>
          <w:tcPr>
            <w:tcW w:w="3794" w:type="dxa"/>
          </w:tcPr>
          <w:p w14:paraId="7D67D3BB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(long)</w:t>
            </w:r>
          </w:p>
        </w:tc>
        <w:tc>
          <w:tcPr>
            <w:tcW w:w="2693" w:type="dxa"/>
          </w:tcPr>
          <w:p w14:paraId="13329F94" w14:textId="77777777" w:rsidR="00F54016" w:rsidRPr="00F54016" w:rsidRDefault="00CF6A2A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-0.02 (-0.10</w:t>
            </w:r>
            <w:r w:rsidR="00F54016" w:rsidRPr="00F54016">
              <w:rPr>
                <w:rFonts w:ascii="Cambria" w:hAnsi="Cambria" w:cs="Times New Roman"/>
              </w:rPr>
              <w:t xml:space="preserve"> to 0.07)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9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1820A0F3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-0.08 (-0.19 to 0.02)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(4)</w:t>
            </w:r>
          </w:p>
        </w:tc>
      </w:tr>
      <w:tr w:rsidR="00F54016" w:rsidRPr="00F54016" w14:paraId="1AC20A86" w14:textId="77777777" w:rsidTr="00723496">
        <w:tc>
          <w:tcPr>
            <w:tcW w:w="3794" w:type="dxa"/>
          </w:tcPr>
          <w:p w14:paraId="2CDF145E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</w:tcPr>
          <w:p w14:paraId="051D17E5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Social worker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(1</w:t>
            </w:r>
            <w:r w:rsidR="009C00D0">
              <w:rPr>
                <w:rFonts w:ascii="Cambria" w:hAnsi="Cambria" w:cs="Times New Roman"/>
                <w:b/>
                <w:u w:val="single"/>
                <w:vertAlign w:val="superscript"/>
              </w:rPr>
              <w:t>0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482A5314" w14:textId="77777777" w:rsidR="00F54016" w:rsidRPr="00F54016" w:rsidRDefault="00F54016" w:rsidP="00F54016">
            <w:pPr>
              <w:rPr>
                <w:rFonts w:ascii="Cambria" w:hAnsi="Cambria" w:cs="Times New Roman"/>
                <w:b/>
                <w:u w:val="single"/>
              </w:rPr>
            </w:pPr>
            <w:r w:rsidRPr="00F54016">
              <w:rPr>
                <w:rFonts w:ascii="Cambria" w:hAnsi="Cambria" w:cs="Times New Roman"/>
                <w:b/>
                <w:u w:val="single"/>
              </w:rPr>
              <w:t xml:space="preserve">No social worker 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(</w:t>
            </w:r>
            <w:r w:rsidR="009C00D0">
              <w:rPr>
                <w:rFonts w:ascii="Cambria" w:hAnsi="Cambria" w:cs="Times New Roman"/>
                <w:b/>
                <w:u w:val="single"/>
                <w:vertAlign w:val="superscript"/>
              </w:rPr>
              <w:t>21</w:t>
            </w:r>
            <w:r w:rsidRPr="00F54016">
              <w:rPr>
                <w:rFonts w:ascii="Cambria" w:hAnsi="Cambria" w:cs="Times New Roman"/>
                <w:b/>
                <w:u w:val="single"/>
                <w:vertAlign w:val="superscript"/>
              </w:rPr>
              <w:t>)</w:t>
            </w:r>
          </w:p>
        </w:tc>
      </w:tr>
      <w:tr w:rsidR="00F54016" w:rsidRPr="00F54016" w14:paraId="38F63208" w14:textId="77777777" w:rsidTr="00723496">
        <w:tc>
          <w:tcPr>
            <w:tcW w:w="3794" w:type="dxa"/>
          </w:tcPr>
          <w:p w14:paraId="211A6B82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(short)</w:t>
            </w:r>
          </w:p>
        </w:tc>
        <w:tc>
          <w:tcPr>
            <w:tcW w:w="2693" w:type="dxa"/>
            <w:shd w:val="clear" w:color="auto" w:fill="auto"/>
          </w:tcPr>
          <w:p w14:paraId="0D9B0FE1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  <w:tc>
          <w:tcPr>
            <w:tcW w:w="2693" w:type="dxa"/>
          </w:tcPr>
          <w:p w14:paraId="10BCE051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n/a</w:t>
            </w:r>
          </w:p>
        </w:tc>
      </w:tr>
      <w:tr w:rsidR="00F54016" w:rsidRPr="00F54016" w14:paraId="7AF7634D" w14:textId="77777777" w:rsidTr="00723496">
        <w:tc>
          <w:tcPr>
            <w:tcW w:w="3794" w:type="dxa"/>
          </w:tcPr>
          <w:p w14:paraId="57EA35FF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Mortality (long)</w:t>
            </w:r>
          </w:p>
        </w:tc>
        <w:tc>
          <w:tcPr>
            <w:tcW w:w="2693" w:type="dxa"/>
          </w:tcPr>
          <w:p w14:paraId="4F26505A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0.03 (-0.07 to 0.13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2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BE568EF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 xml:space="preserve">-0.00 (-0.09 to 0.08) </w:t>
            </w:r>
            <w:r w:rsidRPr="00F54016">
              <w:rPr>
                <w:rFonts w:ascii="Cambria" w:hAnsi="Cambria" w:cs="Times New Roman"/>
                <w:b/>
                <w:vertAlign w:val="superscript"/>
              </w:rPr>
              <w:t>(9)</w:t>
            </w:r>
          </w:p>
        </w:tc>
      </w:tr>
      <w:tr w:rsidR="00F54016" w:rsidRPr="00F54016" w14:paraId="4D38249B" w14:textId="77777777" w:rsidTr="00723496">
        <w:tc>
          <w:tcPr>
            <w:tcW w:w="3794" w:type="dxa"/>
          </w:tcPr>
          <w:p w14:paraId="7FA96FF0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Self-rated health (short)</w:t>
            </w:r>
          </w:p>
        </w:tc>
        <w:tc>
          <w:tcPr>
            <w:tcW w:w="2693" w:type="dxa"/>
            <w:shd w:val="clear" w:color="auto" w:fill="auto"/>
          </w:tcPr>
          <w:p w14:paraId="22384AD7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0.14</w:t>
            </w:r>
            <w:r w:rsidR="00F54016" w:rsidRPr="00F54016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-0.02 to 0.30)</w:t>
            </w:r>
            <w:r w:rsidR="00F54016" w:rsidRPr="00F54016">
              <w:rPr>
                <w:rFonts w:ascii="Cambria" w:hAnsi="Cambria" w:cs="Times New Roman"/>
              </w:rPr>
              <w:t xml:space="preserve">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4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649BEF4C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0.02 (-0.07</w:t>
            </w:r>
            <w:r w:rsidR="00F54016" w:rsidRPr="00F54016">
              <w:rPr>
                <w:rFonts w:ascii="Cambria" w:hAnsi="Cambria" w:cs="Times New Roman"/>
              </w:rPr>
              <w:t xml:space="preserve"> to 0.10)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6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40A00F96" w14:textId="77777777" w:rsidTr="00723496">
        <w:tc>
          <w:tcPr>
            <w:tcW w:w="3794" w:type="dxa"/>
          </w:tcPr>
          <w:p w14:paraId="7DE11AA8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primary care (short)</w:t>
            </w:r>
          </w:p>
        </w:tc>
        <w:tc>
          <w:tcPr>
            <w:tcW w:w="2693" w:type="dxa"/>
          </w:tcPr>
          <w:p w14:paraId="3FC8A2C1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-0.02 (-0.23 to 0.18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F18AC8B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0.01 (-0.09 to 0.11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>
              <w:rPr>
                <w:rFonts w:ascii="Cambria" w:hAnsi="Cambria" w:cs="Times New Roman"/>
                <w:b/>
                <w:vertAlign w:val="superscript"/>
              </w:rPr>
              <w:t>(5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1B93222E" w14:textId="77777777" w:rsidTr="00723496">
        <w:tc>
          <w:tcPr>
            <w:tcW w:w="3794" w:type="dxa"/>
          </w:tcPr>
          <w:p w14:paraId="5782C515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(short)</w:t>
            </w:r>
          </w:p>
        </w:tc>
        <w:tc>
          <w:tcPr>
            <w:tcW w:w="2693" w:type="dxa"/>
            <w:shd w:val="clear" w:color="auto" w:fill="auto"/>
          </w:tcPr>
          <w:p w14:paraId="4ECF9D6E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0.11</w:t>
            </w:r>
            <w:r w:rsidR="00F54016" w:rsidRPr="00F54016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-0.01 to 0.22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8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DD766E5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0.03 (-0.07 to 0.13</w:t>
            </w:r>
            <w:r w:rsidR="00F54016" w:rsidRPr="00F54016">
              <w:rPr>
                <w:rFonts w:ascii="Cambria" w:hAnsi="Cambria" w:cs="Times New Roman"/>
              </w:rPr>
              <w:t xml:space="preserve">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10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  <w:tr w:rsidR="00F54016" w:rsidRPr="00F54016" w14:paraId="5ED77EAF" w14:textId="77777777" w:rsidTr="00723496">
        <w:tc>
          <w:tcPr>
            <w:tcW w:w="3794" w:type="dxa"/>
          </w:tcPr>
          <w:p w14:paraId="76930105" w14:textId="77777777" w:rsidR="00F54016" w:rsidRPr="00F54016" w:rsidRDefault="00F54016" w:rsidP="00F54016">
            <w:pPr>
              <w:rPr>
                <w:rFonts w:ascii="Cambria" w:hAnsi="Cambria" w:cs="Times New Roman"/>
              </w:rPr>
            </w:pPr>
            <w:r w:rsidRPr="00F54016">
              <w:rPr>
                <w:rFonts w:ascii="Cambria" w:hAnsi="Cambria" w:cs="Times New Roman"/>
              </w:rPr>
              <w:t>Utilisation secondary care (long)</w:t>
            </w:r>
          </w:p>
        </w:tc>
        <w:tc>
          <w:tcPr>
            <w:tcW w:w="2693" w:type="dxa"/>
          </w:tcPr>
          <w:p w14:paraId="009B1382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-0.12 (-0.43 to 0.19)</w:t>
            </w:r>
            <w:r w:rsidR="00F54016" w:rsidRPr="00F54016">
              <w:rPr>
                <w:rFonts w:ascii="Cambria" w:hAnsi="Cambria" w:cs="Times New Roman"/>
              </w:rPr>
              <w:t xml:space="preserve">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2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8480AE9" w14:textId="77777777" w:rsidR="00F54016" w:rsidRPr="00F54016" w:rsidRDefault="002F480D" w:rsidP="00F5401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-0.02 (-0.10</w:t>
            </w:r>
            <w:r w:rsidR="00F54016" w:rsidRPr="00F54016">
              <w:rPr>
                <w:rFonts w:ascii="Cambria" w:hAnsi="Cambria" w:cs="Times New Roman"/>
              </w:rPr>
              <w:t xml:space="preserve"> to 0.05) 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(</w:t>
            </w:r>
            <w:r>
              <w:rPr>
                <w:rFonts w:ascii="Cambria" w:hAnsi="Cambria" w:cs="Times New Roman"/>
                <w:b/>
                <w:vertAlign w:val="superscript"/>
              </w:rPr>
              <w:t>11</w:t>
            </w:r>
            <w:r w:rsidR="00F54016" w:rsidRPr="00F54016">
              <w:rPr>
                <w:rFonts w:ascii="Cambria" w:hAnsi="Cambria" w:cs="Times New Roman"/>
                <w:b/>
                <w:vertAlign w:val="superscript"/>
              </w:rPr>
              <w:t>)</w:t>
            </w:r>
          </w:p>
        </w:tc>
      </w:tr>
    </w:tbl>
    <w:p w14:paraId="0C23F66A" w14:textId="77777777" w:rsidR="00F54016" w:rsidRPr="00F54016" w:rsidRDefault="00F23165" w:rsidP="00F54016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No</w:t>
      </w:r>
      <w:r w:rsidR="00F54016" w:rsidRPr="00F54016">
        <w:rPr>
          <w:rFonts w:ascii="Cambria" w:eastAsia="MS Mincho" w:hAnsi="Cambria" w:cs="Times New Roman"/>
          <w:sz w:val="24"/>
          <w:szCs w:val="24"/>
        </w:rPr>
        <w:t xml:space="preserve"> significant difference between subgroups (p&lt;0.05)</w:t>
      </w:r>
    </w:p>
    <w:p w14:paraId="5AB0F721" w14:textId="77777777" w:rsidR="00F54016" w:rsidRPr="00F54016" w:rsidRDefault="00F54016" w:rsidP="00F54016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</w:rPr>
      </w:pPr>
      <w:r w:rsidRPr="00F54016">
        <w:rPr>
          <w:rFonts w:ascii="Cambria" w:eastAsia="MS Mincho" w:hAnsi="Cambria" w:cs="Times New Roman"/>
          <w:sz w:val="24"/>
          <w:szCs w:val="24"/>
        </w:rPr>
        <w:t>* = significant in-subgroup effect (p&lt;0.05)</w:t>
      </w:r>
    </w:p>
    <w:p w14:paraId="520596C9" w14:textId="77777777" w:rsidR="00F54016" w:rsidRPr="00F54016" w:rsidRDefault="00F54016" w:rsidP="00F54016">
      <w:pPr>
        <w:spacing w:after="0" w:line="480" w:lineRule="auto"/>
        <w:jc w:val="left"/>
        <w:rPr>
          <w:rFonts w:ascii="Helvetica" w:eastAsia="MS Mincho" w:hAnsi="Helvetica" w:cs="Times New Roman"/>
          <w:color w:val="345A8A"/>
          <w:sz w:val="24"/>
          <w:szCs w:val="24"/>
        </w:rPr>
      </w:pPr>
      <w:r w:rsidRPr="00F54016">
        <w:rPr>
          <w:rFonts w:ascii="Cambria" w:eastAsia="MS Mincho" w:hAnsi="Cambria" w:cs="Times New Roman"/>
          <w:i/>
          <w:sz w:val="24"/>
          <w:szCs w:val="24"/>
        </w:rPr>
        <w:t>Note</w:t>
      </w:r>
      <w:r w:rsidRPr="00F54016">
        <w:rPr>
          <w:rFonts w:ascii="Cambria" w:eastAsia="MS Mincho" w:hAnsi="Cambria" w:cs="Times New Roman"/>
          <w:sz w:val="24"/>
          <w:szCs w:val="24"/>
        </w:rPr>
        <w:t>: Positive effect size favours case management for all measures</w:t>
      </w:r>
    </w:p>
    <w:p w14:paraId="3B768924" w14:textId="77777777" w:rsidR="00E610F7" w:rsidRPr="00C30E2B" w:rsidRDefault="00E610F7" w:rsidP="00C30E2B"/>
    <w:sectPr w:rsidR="00E610F7" w:rsidRPr="00C30E2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5EF74" w14:textId="77777777" w:rsidR="009E1BEE" w:rsidRDefault="009E1BEE" w:rsidP="009F512E">
      <w:pPr>
        <w:spacing w:after="0" w:line="240" w:lineRule="auto"/>
      </w:pPr>
      <w:r>
        <w:separator/>
      </w:r>
    </w:p>
  </w:endnote>
  <w:endnote w:type="continuationSeparator" w:id="0">
    <w:p w14:paraId="70AC390B" w14:textId="77777777" w:rsidR="009E1BEE" w:rsidRDefault="009E1BEE" w:rsidP="009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1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AAA7" w14:textId="77777777" w:rsidR="009F512E" w:rsidRDefault="009F5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99923" w14:textId="77777777" w:rsidR="009F512E" w:rsidRDefault="009F51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D10C" w14:textId="77777777" w:rsidR="009E1BEE" w:rsidRDefault="009E1BEE" w:rsidP="009F512E">
      <w:pPr>
        <w:spacing w:after="0" w:line="240" w:lineRule="auto"/>
      </w:pPr>
      <w:r>
        <w:separator/>
      </w:r>
    </w:p>
  </w:footnote>
  <w:footnote w:type="continuationSeparator" w:id="0">
    <w:p w14:paraId="524DF2DE" w14:textId="77777777" w:rsidR="009E1BEE" w:rsidRDefault="009E1BEE" w:rsidP="009F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4"/>
    <w:rsid w:val="00080EC8"/>
    <w:rsid w:val="001E5414"/>
    <w:rsid w:val="00223FD5"/>
    <w:rsid w:val="0026602B"/>
    <w:rsid w:val="002845FF"/>
    <w:rsid w:val="002D4F77"/>
    <w:rsid w:val="002F480D"/>
    <w:rsid w:val="0035616A"/>
    <w:rsid w:val="003F3BB2"/>
    <w:rsid w:val="00446E67"/>
    <w:rsid w:val="00485876"/>
    <w:rsid w:val="004C4044"/>
    <w:rsid w:val="004F5061"/>
    <w:rsid w:val="00592226"/>
    <w:rsid w:val="0062329B"/>
    <w:rsid w:val="006E479D"/>
    <w:rsid w:val="006F6290"/>
    <w:rsid w:val="007C327A"/>
    <w:rsid w:val="008244A9"/>
    <w:rsid w:val="00835796"/>
    <w:rsid w:val="009755FD"/>
    <w:rsid w:val="009C00D0"/>
    <w:rsid w:val="009D0FBA"/>
    <w:rsid w:val="009E1BEE"/>
    <w:rsid w:val="009F512E"/>
    <w:rsid w:val="00A25CA2"/>
    <w:rsid w:val="00A37295"/>
    <w:rsid w:val="00B4076D"/>
    <w:rsid w:val="00B73C97"/>
    <w:rsid w:val="00B82C59"/>
    <w:rsid w:val="00BD39D5"/>
    <w:rsid w:val="00C30E2B"/>
    <w:rsid w:val="00C45D48"/>
    <w:rsid w:val="00CF6A2A"/>
    <w:rsid w:val="00D7165A"/>
    <w:rsid w:val="00E4565B"/>
    <w:rsid w:val="00E610F7"/>
    <w:rsid w:val="00F23165"/>
    <w:rsid w:val="00F54016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46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4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30E2B"/>
    <w:pPr>
      <w:spacing w:after="0" w:line="240" w:lineRule="auto"/>
      <w:jc w:val="left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54016"/>
    <w:pPr>
      <w:spacing w:after="0" w:line="240" w:lineRule="auto"/>
      <w:jc w:val="left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2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2E"/>
  </w:style>
  <w:style w:type="paragraph" w:styleId="Footer">
    <w:name w:val="footer"/>
    <w:basedOn w:val="Normal"/>
    <w:link w:val="FooterChar"/>
    <w:uiPriority w:val="99"/>
    <w:unhideWhenUsed/>
    <w:rsid w:val="009F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4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30E2B"/>
    <w:pPr>
      <w:spacing w:after="0" w:line="240" w:lineRule="auto"/>
      <w:jc w:val="left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54016"/>
    <w:pPr>
      <w:spacing w:after="0" w:line="240" w:lineRule="auto"/>
      <w:jc w:val="left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2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2E"/>
  </w:style>
  <w:style w:type="paragraph" w:styleId="Footer">
    <w:name w:val="footer"/>
    <w:basedOn w:val="Normal"/>
    <w:link w:val="FooterChar"/>
    <w:uiPriority w:val="99"/>
    <w:unhideWhenUsed/>
    <w:rsid w:val="009F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Stokes</dc:creator>
  <cp:lastModifiedBy>Jonathan Stokes</cp:lastModifiedBy>
  <cp:revision>26</cp:revision>
  <dcterms:created xsi:type="dcterms:W3CDTF">2015-05-11T09:53:00Z</dcterms:created>
  <dcterms:modified xsi:type="dcterms:W3CDTF">2015-05-18T17:02:00Z</dcterms:modified>
</cp:coreProperties>
</file>