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3" w:rsidRPr="00C16DB3" w:rsidRDefault="00C16DB3">
      <w:pPr>
        <w:rPr>
          <w:rFonts w:ascii="Times New Roman" w:hAnsi="Times New Roman"/>
        </w:rPr>
      </w:pPr>
      <w:proofErr w:type="gramStart"/>
      <w:r w:rsidRPr="00C16DB3">
        <w:rPr>
          <w:rFonts w:ascii="Times New Roman" w:hAnsi="Times New Roman"/>
          <w:b/>
        </w:rPr>
        <w:t>S2 Table.</w:t>
      </w:r>
      <w:proofErr w:type="gramEnd"/>
      <w:r w:rsidRPr="00C16DB3">
        <w:rPr>
          <w:rFonts w:ascii="Times New Roman" w:hAnsi="Times New Roman"/>
          <w:b/>
        </w:rPr>
        <w:t xml:space="preserve"> Change</w:t>
      </w:r>
      <w:bookmarkStart w:id="0" w:name="_GoBack"/>
      <w:bookmarkEnd w:id="0"/>
      <w:r w:rsidRPr="00C16DB3">
        <w:rPr>
          <w:rFonts w:ascii="Times New Roman" w:hAnsi="Times New Roman"/>
          <w:b/>
        </w:rPr>
        <w:t xml:space="preserve"> in the prevalence of nonadherence to simvastatin after retirement in patient subgroups not discontinuing their therapy.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3056"/>
        <w:gridCol w:w="3056"/>
      </w:tblGrid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vAlign w:val="bottom"/>
          </w:tcPr>
          <w:p w:rsidR="00120E51" w:rsidRPr="00C16DB3" w:rsidRDefault="00120E51" w:rsidP="00290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Nonadherence</w:t>
            </w:r>
            <w:r w:rsidR="00C16DB3">
              <w:rPr>
                <w:rFonts w:ascii="Times New Roman" w:hAnsi="Times New Roman"/>
                <w:b/>
              </w:rPr>
              <w:t>ᵃ</w:t>
            </w:r>
            <w:r w:rsidRPr="00C16DB3">
              <w:rPr>
                <w:rFonts w:ascii="Times New Roman" w:hAnsi="Times New Roman"/>
                <w:b/>
              </w:rPr>
              <w:t xml:space="preserve"> after vs. before retirement</w:t>
            </w:r>
          </w:p>
          <w:p w:rsidR="00120E51" w:rsidRPr="00C16DB3" w:rsidRDefault="00120E51" w:rsidP="00290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Prevalence ratio</w:t>
            </w:r>
            <w:r w:rsidR="00C16DB3">
              <w:rPr>
                <w:rFonts w:ascii="Times New Roman" w:hAnsi="Times New Roman"/>
                <w:b/>
              </w:rPr>
              <w:t>ᵇ</w:t>
            </w:r>
          </w:p>
          <w:p w:rsidR="00120E51" w:rsidRPr="00C16DB3" w:rsidRDefault="00120E51" w:rsidP="0029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  <w:b/>
              </w:rPr>
              <w:t>(95% Confidence interval)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  <w:b/>
              </w:rPr>
              <w:t>Characteristic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Men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Women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All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1.25 (1.19‒1.31)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1.21 (1.14‒1.27)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Retirement age (years)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44</w:t>
            </w:r>
            <w:r w:rsidR="002A7CF2" w:rsidRPr="00C16DB3">
              <w:rPr>
                <w:rFonts w:ascii="Times New Roman" w:hAnsi="Times New Roman"/>
              </w:rPr>
              <w:t>‒</w:t>
            </w:r>
            <w:r w:rsidRPr="00C16DB3">
              <w:rPr>
                <w:rFonts w:ascii="Times New Roman" w:hAnsi="Times New Roman"/>
              </w:rPr>
              <w:t>63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1.23 (1.15‒1.32)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1.24 (1.15‒1.33)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64</w:t>
            </w:r>
            <w:r w:rsidR="002A7CF2" w:rsidRPr="00C16DB3">
              <w:rPr>
                <w:rFonts w:ascii="Times New Roman" w:hAnsi="Times New Roman"/>
              </w:rPr>
              <w:t>‒</w:t>
            </w:r>
            <w:r w:rsidRPr="00C16DB3">
              <w:rPr>
                <w:rFonts w:ascii="Times New Roman" w:hAnsi="Times New Roman"/>
              </w:rPr>
              <w:t>68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1.27 (1.19‒1.36)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1.17 (1.08‒1.26)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Educational level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Compulsory school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1.26 (1.16‒1.38)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1.23 (1.09‒1.40)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Upper secondary school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1.21 (1.12‒1.30)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1.18 (1.09‒1.28)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University education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1.32 (1.20‒1.46)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1.22 (1.12‒1.33)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Married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Yes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1.23 (1.13‒1.34)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1.12 (1.03‒1.22)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No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1.27 (1.20‒1.34)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1.26 (1.18‒1.35)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Income (SEK/year)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&lt;250 000 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1.24 (1.14‒1.34)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1.24 (1.16‒1.33)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</w:t>
            </w:r>
            <w:r w:rsidRPr="00C16DB3">
              <w:rPr>
                <w:rFonts w:ascii="Times New Roman" w:hAnsi="Times New Roman"/>
                <w:u w:val="single"/>
              </w:rPr>
              <w:t>&gt;</w:t>
            </w:r>
            <w:r w:rsidRPr="00C16DB3">
              <w:rPr>
                <w:rFonts w:ascii="Times New Roman" w:hAnsi="Times New Roman"/>
              </w:rPr>
              <w:t>250 000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1.26 (1.19‒1.34)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1.16 (1.07‒1.25)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Type of retirement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Statutory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1.27 (1.20‒1.34)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1.18 (1.11‒1.26)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Disability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1.22 (1.11‒1.33)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1.25 (1.15‒1.36)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B3">
              <w:rPr>
                <w:rFonts w:ascii="Times New Roman" w:hAnsi="Times New Roman"/>
                <w:b/>
              </w:rPr>
              <w:t>Type of prevention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Primary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1.21 (1.14‒1.27)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1.18 (1.12‒1.25)</w:t>
            </w:r>
          </w:p>
        </w:tc>
      </w:tr>
      <w:tr w:rsidR="00120E51" w:rsidRPr="00C16DB3" w:rsidTr="00290CE4">
        <w:tc>
          <w:tcPr>
            <w:tcW w:w="3055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 xml:space="preserve">  Secondary</w:t>
            </w:r>
            <w:r w:rsidR="00C16DB3">
              <w:rPr>
                <w:rFonts w:ascii="Times New Roman" w:hAnsi="Times New Roman"/>
              </w:rPr>
              <w:t xml:space="preserve"> ͨ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1.38 (1.25‒1.53)</w:t>
            </w:r>
          </w:p>
        </w:tc>
        <w:tc>
          <w:tcPr>
            <w:tcW w:w="3056" w:type="dxa"/>
          </w:tcPr>
          <w:p w:rsidR="00120E51" w:rsidRPr="00C16DB3" w:rsidRDefault="00120E51" w:rsidP="00290CE4">
            <w:pPr>
              <w:spacing w:after="0" w:line="240" w:lineRule="auto"/>
              <w:rPr>
                <w:rFonts w:ascii="Times New Roman" w:hAnsi="Times New Roman"/>
              </w:rPr>
            </w:pPr>
            <w:r w:rsidRPr="00C16DB3">
              <w:rPr>
                <w:rFonts w:ascii="Times New Roman" w:hAnsi="Times New Roman"/>
              </w:rPr>
              <w:t>1.40 (1.17‒1.67)</w:t>
            </w:r>
          </w:p>
        </w:tc>
      </w:tr>
    </w:tbl>
    <w:p w:rsidR="00120E51" w:rsidRPr="00C16DB3" w:rsidRDefault="00120E51" w:rsidP="00FF74EA">
      <w:pPr>
        <w:spacing w:after="0" w:line="240" w:lineRule="auto"/>
        <w:ind w:left="-142"/>
        <w:rPr>
          <w:rFonts w:ascii="Times New Roman" w:hAnsi="Times New Roman"/>
        </w:rPr>
      </w:pPr>
      <w:r w:rsidRPr="00C16DB3">
        <w:rPr>
          <w:rFonts w:ascii="Times New Roman" w:hAnsi="Times New Roman"/>
        </w:rPr>
        <w:t>Prevalence ratios derived from repeated measures log-binomial regression analyses adjusted for age at retirement</w:t>
      </w:r>
      <w:r w:rsidR="002A7CF2" w:rsidRPr="00C16DB3">
        <w:rPr>
          <w:rFonts w:ascii="Times New Roman" w:hAnsi="Times New Roman"/>
        </w:rPr>
        <w:t>.</w:t>
      </w:r>
    </w:p>
    <w:p w:rsidR="00120E51" w:rsidRPr="00C16DB3" w:rsidRDefault="00C16DB3" w:rsidP="00FF74EA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ᵃ</w:t>
      </w:r>
      <w:r w:rsidR="00120E51" w:rsidRPr="00C16DB3">
        <w:rPr>
          <w:rFonts w:ascii="Times New Roman" w:hAnsi="Times New Roman"/>
        </w:rPr>
        <w:t>Nonadherence refers to proportion of days covered by treatment &lt;80%</w:t>
      </w:r>
      <w:r w:rsidR="002A7CF2" w:rsidRPr="00C16DB3">
        <w:rPr>
          <w:rFonts w:ascii="Times New Roman" w:hAnsi="Times New Roman"/>
        </w:rPr>
        <w:t>.</w:t>
      </w:r>
    </w:p>
    <w:p w:rsidR="00120E51" w:rsidRPr="00C16DB3" w:rsidRDefault="00C16DB3" w:rsidP="00FF74EA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ᵇ</w:t>
      </w:r>
      <w:r w:rsidR="00120E51" w:rsidRPr="00C16DB3">
        <w:rPr>
          <w:rFonts w:ascii="Times New Roman" w:hAnsi="Times New Roman"/>
        </w:rPr>
        <w:t xml:space="preserve">Prevalence ratio for nonadherence in </w:t>
      </w:r>
      <w:r w:rsidR="00506011" w:rsidRPr="00C16DB3">
        <w:rPr>
          <w:rFonts w:ascii="Times New Roman" w:hAnsi="Times New Roman"/>
        </w:rPr>
        <w:t>the</w:t>
      </w:r>
      <w:r w:rsidR="00120E51" w:rsidRPr="00C16DB3">
        <w:rPr>
          <w:rFonts w:ascii="Times New Roman" w:hAnsi="Times New Roman"/>
        </w:rPr>
        <w:t xml:space="preserve"> 2 years after retirement compared </w:t>
      </w:r>
      <w:r w:rsidR="002A7CF2" w:rsidRPr="00C16DB3">
        <w:rPr>
          <w:rFonts w:ascii="Times New Roman" w:hAnsi="Times New Roman"/>
        </w:rPr>
        <w:t>with</w:t>
      </w:r>
      <w:r w:rsidR="00120E51" w:rsidRPr="00C16DB3">
        <w:rPr>
          <w:rFonts w:ascii="Times New Roman" w:hAnsi="Times New Roman"/>
        </w:rPr>
        <w:t xml:space="preserve"> </w:t>
      </w:r>
      <w:r w:rsidR="00506011" w:rsidRPr="00C16DB3">
        <w:rPr>
          <w:rFonts w:ascii="Times New Roman" w:hAnsi="Times New Roman"/>
        </w:rPr>
        <w:t>the</w:t>
      </w:r>
      <w:r w:rsidR="00120E51" w:rsidRPr="00C16DB3">
        <w:rPr>
          <w:rFonts w:ascii="Times New Roman" w:hAnsi="Times New Roman"/>
        </w:rPr>
        <w:t xml:space="preserve"> 2 years before retirement</w:t>
      </w:r>
      <w:r w:rsidR="002A7CF2" w:rsidRPr="00C16DB3">
        <w:rPr>
          <w:rFonts w:ascii="Times New Roman" w:hAnsi="Times New Roman"/>
        </w:rPr>
        <w:t>.</w:t>
      </w:r>
      <w:r w:rsidR="00120E51" w:rsidRPr="00C16DB3">
        <w:rPr>
          <w:rFonts w:ascii="Times New Roman" w:hAnsi="Times New Roman"/>
        </w:rPr>
        <w:t xml:space="preserve"> </w:t>
      </w:r>
    </w:p>
    <w:p w:rsidR="00120E51" w:rsidRPr="00C16DB3" w:rsidRDefault="00C16DB3" w:rsidP="00FF74EA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ͨ </w:t>
      </w:r>
      <w:r w:rsidR="00120E51" w:rsidRPr="00C16DB3">
        <w:rPr>
          <w:rFonts w:ascii="Times New Roman" w:hAnsi="Times New Roman"/>
        </w:rPr>
        <w:t>Secondary prevention:</w:t>
      </w:r>
      <w:r w:rsidR="00161736" w:rsidRPr="00C16DB3">
        <w:rPr>
          <w:rFonts w:ascii="Times New Roman" w:hAnsi="Times New Roman"/>
        </w:rPr>
        <w:t xml:space="preserve"> </w:t>
      </w:r>
      <w:r w:rsidR="00D44CA9" w:rsidRPr="00C16DB3">
        <w:rPr>
          <w:rFonts w:ascii="Times New Roman" w:hAnsi="Times New Roman"/>
          <w:bCs/>
        </w:rPr>
        <w:t xml:space="preserve">previous in- or outpatient hospital visits due to coronary heart disease or cerebrovascular diseases in any year before </w:t>
      </w:r>
      <w:r w:rsidR="00875B89" w:rsidRPr="00C16DB3">
        <w:rPr>
          <w:rFonts w:ascii="Times New Roman" w:hAnsi="Times New Roman"/>
          <w:bCs/>
        </w:rPr>
        <w:t>retirement</w:t>
      </w:r>
      <w:r w:rsidR="002A7CF2" w:rsidRPr="00C16DB3">
        <w:rPr>
          <w:rFonts w:ascii="Times New Roman" w:hAnsi="Times New Roman"/>
          <w:bCs/>
        </w:rPr>
        <w:t>.</w:t>
      </w:r>
    </w:p>
    <w:p w:rsidR="00120E51" w:rsidRDefault="00120E51"/>
    <w:sectPr w:rsidR="00120E51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A4E"/>
    <w:rsid w:val="00003693"/>
    <w:rsid w:val="00031A5C"/>
    <w:rsid w:val="000C1D70"/>
    <w:rsid w:val="000C65F1"/>
    <w:rsid w:val="000E026A"/>
    <w:rsid w:val="000F58B8"/>
    <w:rsid w:val="00106C47"/>
    <w:rsid w:val="00120E51"/>
    <w:rsid w:val="001272FC"/>
    <w:rsid w:val="00154EEB"/>
    <w:rsid w:val="00161736"/>
    <w:rsid w:val="00164189"/>
    <w:rsid w:val="001D4BF0"/>
    <w:rsid w:val="001E1950"/>
    <w:rsid w:val="001F5619"/>
    <w:rsid w:val="002024C1"/>
    <w:rsid w:val="002417FC"/>
    <w:rsid w:val="002903FE"/>
    <w:rsid w:val="00290CE4"/>
    <w:rsid w:val="002A7CF2"/>
    <w:rsid w:val="002B6929"/>
    <w:rsid w:val="002F1248"/>
    <w:rsid w:val="002F1E7F"/>
    <w:rsid w:val="00301FAF"/>
    <w:rsid w:val="00306ED2"/>
    <w:rsid w:val="0036698F"/>
    <w:rsid w:val="00366EC6"/>
    <w:rsid w:val="003B243D"/>
    <w:rsid w:val="003C6F18"/>
    <w:rsid w:val="004138D0"/>
    <w:rsid w:val="004A4433"/>
    <w:rsid w:val="004D5D16"/>
    <w:rsid w:val="004E6D09"/>
    <w:rsid w:val="004F7671"/>
    <w:rsid w:val="00506011"/>
    <w:rsid w:val="00560B61"/>
    <w:rsid w:val="005619ED"/>
    <w:rsid w:val="00571A9C"/>
    <w:rsid w:val="00577103"/>
    <w:rsid w:val="005D379A"/>
    <w:rsid w:val="005D3D2F"/>
    <w:rsid w:val="005E6A2D"/>
    <w:rsid w:val="005E6FF5"/>
    <w:rsid w:val="00661BD8"/>
    <w:rsid w:val="006D0C5D"/>
    <w:rsid w:val="006D1DD5"/>
    <w:rsid w:val="006D503A"/>
    <w:rsid w:val="00713298"/>
    <w:rsid w:val="00725518"/>
    <w:rsid w:val="00727C08"/>
    <w:rsid w:val="00767A4E"/>
    <w:rsid w:val="0078463C"/>
    <w:rsid w:val="007A45DF"/>
    <w:rsid w:val="007B4C47"/>
    <w:rsid w:val="00823A64"/>
    <w:rsid w:val="00834F38"/>
    <w:rsid w:val="00875B89"/>
    <w:rsid w:val="00951083"/>
    <w:rsid w:val="009934FD"/>
    <w:rsid w:val="009968A8"/>
    <w:rsid w:val="009E43B9"/>
    <w:rsid w:val="009F08A8"/>
    <w:rsid w:val="00A11765"/>
    <w:rsid w:val="00A46B47"/>
    <w:rsid w:val="00AB0E90"/>
    <w:rsid w:val="00AB26F5"/>
    <w:rsid w:val="00AE2CD9"/>
    <w:rsid w:val="00B13E6D"/>
    <w:rsid w:val="00B40BD8"/>
    <w:rsid w:val="00B47E32"/>
    <w:rsid w:val="00B96D70"/>
    <w:rsid w:val="00BC1680"/>
    <w:rsid w:val="00BD15BE"/>
    <w:rsid w:val="00BD1D6C"/>
    <w:rsid w:val="00BD2572"/>
    <w:rsid w:val="00BF4664"/>
    <w:rsid w:val="00C022AC"/>
    <w:rsid w:val="00C02AA9"/>
    <w:rsid w:val="00C1212E"/>
    <w:rsid w:val="00C124C2"/>
    <w:rsid w:val="00C1388B"/>
    <w:rsid w:val="00C15E52"/>
    <w:rsid w:val="00C16DB3"/>
    <w:rsid w:val="00C2251F"/>
    <w:rsid w:val="00C25E47"/>
    <w:rsid w:val="00C27A20"/>
    <w:rsid w:val="00C32531"/>
    <w:rsid w:val="00C37D8A"/>
    <w:rsid w:val="00C461ED"/>
    <w:rsid w:val="00C70909"/>
    <w:rsid w:val="00C82FC2"/>
    <w:rsid w:val="00C90B79"/>
    <w:rsid w:val="00D01211"/>
    <w:rsid w:val="00D021E1"/>
    <w:rsid w:val="00D177F1"/>
    <w:rsid w:val="00D2122F"/>
    <w:rsid w:val="00D21E66"/>
    <w:rsid w:val="00D25B28"/>
    <w:rsid w:val="00D26F2C"/>
    <w:rsid w:val="00D44CA9"/>
    <w:rsid w:val="00D74E55"/>
    <w:rsid w:val="00D7568F"/>
    <w:rsid w:val="00D7705A"/>
    <w:rsid w:val="00D8456D"/>
    <w:rsid w:val="00D951C8"/>
    <w:rsid w:val="00DB3D53"/>
    <w:rsid w:val="00DC0441"/>
    <w:rsid w:val="00DC5212"/>
    <w:rsid w:val="00DD2DFD"/>
    <w:rsid w:val="00DD3008"/>
    <w:rsid w:val="00DE777E"/>
    <w:rsid w:val="00E33DB3"/>
    <w:rsid w:val="00E94DEA"/>
    <w:rsid w:val="00EA10E5"/>
    <w:rsid w:val="00EE2EA6"/>
    <w:rsid w:val="00EE7135"/>
    <w:rsid w:val="00F1665D"/>
    <w:rsid w:val="00F2738F"/>
    <w:rsid w:val="00F36F3E"/>
    <w:rsid w:val="00F4195B"/>
    <w:rsid w:val="00F8547C"/>
    <w:rsid w:val="00F86B30"/>
    <w:rsid w:val="00FB30D5"/>
    <w:rsid w:val="00FE0154"/>
    <w:rsid w:val="00FF33E4"/>
    <w:rsid w:val="00FF47C6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D2D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90E"/>
    <w:rPr>
      <w:rFonts w:ascii="Times New Roman" w:hAnsi="Times New Roman"/>
      <w:sz w:val="0"/>
      <w:szCs w:val="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1736"/>
    <w:rPr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rsid w:val="0016173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2 Change in the prevalence of nonadherence to simvastatin after retirement in patient subgroups not discontinuing their therapy</vt:lpstr>
    </vt:vector>
  </TitlesOfParts>
  <Company>University of Turku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2 Change in the prevalence of nonadherence to simvastatin after retirement in patient subgroups not discontinuing their therapy</dc:title>
  <dc:creator>Heli Halava</dc:creator>
  <cp:lastModifiedBy>Heli Halava</cp:lastModifiedBy>
  <cp:revision>2</cp:revision>
  <dcterms:created xsi:type="dcterms:W3CDTF">2015-02-05T13:57:00Z</dcterms:created>
  <dcterms:modified xsi:type="dcterms:W3CDTF">2015-02-05T13:57:00Z</dcterms:modified>
</cp:coreProperties>
</file>