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6C" w:rsidRPr="00E12392" w:rsidRDefault="00C76F6C" w:rsidP="00C76F6C">
      <w:pPr>
        <w:suppressLineNumbers/>
        <w:jc w:val="both"/>
        <w:rPr>
          <w:rFonts w:ascii="Times New Roman" w:eastAsia="新細明體" w:hAnsi="Times New Roman" w:cs="Times New Roman"/>
          <w:i/>
          <w:szCs w:val="24"/>
        </w:rPr>
      </w:pPr>
      <w:bookmarkStart w:id="0" w:name="_GoBack"/>
      <w:proofErr w:type="gramStart"/>
      <w:r w:rsidRPr="00E12392">
        <w:rPr>
          <w:rFonts w:ascii="Times New Roman" w:eastAsia="新細明體" w:hAnsi="Times New Roman" w:cs="Times New Roman"/>
          <w:b/>
          <w:szCs w:val="24"/>
        </w:rPr>
        <w:t xml:space="preserve">Supplementary Table </w:t>
      </w:r>
      <w:r w:rsidRPr="00E12392">
        <w:rPr>
          <w:rFonts w:ascii="Times New Roman" w:eastAsia="新細明體" w:hAnsi="Times New Roman" w:cs="Times New Roman" w:hint="eastAsia"/>
          <w:b/>
          <w:szCs w:val="24"/>
        </w:rPr>
        <w:t>S</w:t>
      </w:r>
      <w:r w:rsidRPr="00E12392">
        <w:rPr>
          <w:rFonts w:ascii="Times New Roman" w:eastAsia="新細明體" w:hAnsi="Times New Roman" w:cs="Times New Roman"/>
          <w:b/>
          <w:szCs w:val="24"/>
        </w:rPr>
        <w:t>1</w:t>
      </w:r>
      <w:r w:rsidRPr="00E12392">
        <w:rPr>
          <w:rFonts w:ascii="Times New Roman" w:eastAsia="新細明體" w:hAnsi="Times New Roman" w:cs="Times New Roman"/>
          <w:szCs w:val="24"/>
        </w:rPr>
        <w:t>.</w:t>
      </w:r>
      <w:proofErr w:type="gramEnd"/>
      <w:r w:rsidRPr="00E12392">
        <w:rPr>
          <w:rFonts w:ascii="Times New Roman" w:eastAsia="新細明體" w:hAnsi="Times New Roman" w:cs="Times New Roman"/>
          <w:szCs w:val="24"/>
        </w:rPr>
        <w:t xml:space="preserve"> Analyzed genotypes of </w:t>
      </w:r>
      <w:r w:rsidRPr="00E12392">
        <w:rPr>
          <w:rFonts w:ascii="Times New Roman" w:eastAsia="新細明體" w:hAnsi="Times New Roman" w:cs="Times New Roman"/>
          <w:i/>
          <w:szCs w:val="24"/>
        </w:rPr>
        <w:t>Drosophila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2"/>
        <w:gridCol w:w="594"/>
        <w:gridCol w:w="1826"/>
        <w:gridCol w:w="2150"/>
        <w:gridCol w:w="3370"/>
      </w:tblGrid>
      <w:tr w:rsidR="00E12392" w:rsidRPr="00E12392" w:rsidTr="00E519FF">
        <w:trPr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For immunohistochemistry and observation of adult wings</w:t>
            </w:r>
          </w:p>
        </w:tc>
      </w:tr>
      <w:tr w:rsidR="00E12392" w:rsidRPr="00E12392" w:rsidTr="00E519FF">
        <w:trPr>
          <w:trHeight w:val="327"/>
        </w:trPr>
        <w:tc>
          <w:tcPr>
            <w:tcW w:w="1678" w:type="pct"/>
            <w:gridSpan w:val="3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Analyzed tissue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sz w:val="21"/>
              </w:rPr>
              <w:t>Denoted as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sz w:val="21"/>
              </w:rPr>
              <w:t>Genotype</w:t>
            </w:r>
          </w:p>
        </w:tc>
      </w:tr>
      <w:tr w:rsidR="00E12392" w:rsidRPr="00E12392" w:rsidTr="00E519FF">
        <w:trPr>
          <w:trHeight w:val="352"/>
        </w:trPr>
        <w:tc>
          <w:tcPr>
            <w:tcW w:w="245" w:type="pct"/>
            <w:vMerge w:val="restart"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Adult wing/Wing discs</w:t>
            </w:r>
          </w:p>
        </w:tc>
        <w:tc>
          <w:tcPr>
            <w:tcW w:w="1433" w:type="pct"/>
            <w:gridSpan w:val="2"/>
            <w:vMerge w:val="restar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Control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C96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&gt;+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C96-GAL4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GFP</w:t>
            </w:r>
          </w:p>
        </w:tc>
        <w:tc>
          <w:tcPr>
            <w:tcW w:w="2019" w:type="pct"/>
          </w:tcPr>
          <w:p w:rsidR="00C76F6C" w:rsidRPr="00E12392" w:rsidRDefault="00C76F6C" w:rsidP="00D0098E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-</w:t>
            </w:r>
            <w:r w:rsidR="00D0098E" w:rsidRPr="00E12392">
              <w:rPr>
                <w:rFonts w:ascii="Times New Roman" w:eastAsia="新細明體" w:hAnsi="Times New Roman" w:cs="Times New Roman"/>
                <w:i/>
                <w:sz w:val="21"/>
              </w:rPr>
              <w:t>UAS-GFP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, </w:t>
            </w:r>
            <w:r w:rsidR="00D0098E" w:rsidRPr="00E12392">
              <w:rPr>
                <w:rFonts w:ascii="Times New Roman" w:eastAsia="新細明體" w:hAnsi="Times New Roman" w:cs="Times New Roman"/>
                <w:i/>
                <w:sz w:val="21"/>
              </w:rPr>
              <w:t>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ms1096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&gt;+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ms1096-GAL4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 w:val="restar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sz w:val="21"/>
              </w:rPr>
              <w:t>dBCAS2-deplet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C96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  <w:vertAlign w:val="superscript"/>
              </w:rPr>
              <w:t>dsRNA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</w:rPr>
              <w:t>UAS-dBCAS2</w:t>
            </w:r>
            <w:r w:rsidRPr="00E12392"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/>
                <w:iCs/>
                <w:sz w:val="21"/>
                <w:szCs w:val="24"/>
              </w:rPr>
              <w:t xml:space="preserve">/+; </w:t>
            </w:r>
            <w:r w:rsidRPr="00E12392"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</w:rPr>
              <w:t>C96-GAL4</w:t>
            </w:r>
            <w:r w:rsidRPr="00E12392">
              <w:rPr>
                <w:rFonts w:ascii="Times New Roman" w:eastAsia="新細明體" w:hAnsi="Times New Roman" w:cs="Times New Roman"/>
                <w:iCs/>
                <w:sz w:val="21"/>
                <w:szCs w:val="24"/>
              </w:rPr>
              <w:t>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GFP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,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A</w:t>
            </w:r>
          </w:p>
        </w:tc>
        <w:tc>
          <w:tcPr>
            <w:tcW w:w="2019" w:type="pct"/>
          </w:tcPr>
          <w:p w:rsidR="00C76F6C" w:rsidRPr="00E12392" w:rsidRDefault="00C76F6C" w:rsidP="00D0098E">
            <w:pPr>
              <w:jc w:val="both"/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-UAS-GFP</w:t>
            </w:r>
            <w:r w:rsidR="00D0098E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="00D0098E"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UAS-dBCAS2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ms1096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ms1096-GAL4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/+;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UAS-dBCAS2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 w:val="restar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3xFLAG-dBCAS2 overexpression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ms1096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ms1096-GAL4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/+;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-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GFP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</w:p>
        </w:tc>
        <w:tc>
          <w:tcPr>
            <w:tcW w:w="2019" w:type="pct"/>
          </w:tcPr>
          <w:p w:rsidR="00C76F6C" w:rsidRPr="00E12392" w:rsidRDefault="00C76F6C" w:rsidP="00D0098E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-UAS-GFP</w:t>
            </w:r>
            <w:r w:rsidR="00D0098E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 xml:space="preserve">, </w:t>
            </w:r>
            <w:r w:rsidR="00D0098E" w:rsidRPr="00E12392">
              <w:rPr>
                <w:rFonts w:ascii="Times New Roman" w:eastAsia="新細明體" w:hAnsi="Times New Roman" w:cs="Times New Roman"/>
                <w:i/>
                <w:sz w:val="21"/>
              </w:rPr>
              <w:t>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UAS-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hBCAS2 overexpression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GFP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 xml:space="preserve"> hBCAS2</w:t>
            </w:r>
          </w:p>
        </w:tc>
        <w:tc>
          <w:tcPr>
            <w:tcW w:w="2019" w:type="pct"/>
          </w:tcPr>
          <w:p w:rsidR="00C76F6C" w:rsidRPr="00E12392" w:rsidRDefault="00C76F6C" w:rsidP="00D0098E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-UAS-GFP</w:t>
            </w:r>
            <w:r w:rsidR="00D0098E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 GAL4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/UAS-hBCAS2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 w:val="restart"/>
          </w:tcPr>
          <w:p w:rsidR="00C76F6C" w:rsidRPr="00E12392" w:rsidRDefault="00C76F6C" w:rsidP="00841933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sz w:val="21"/>
              </w:rPr>
              <w:t>dBCAS2-deplet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ion rescued with ectopic expression of 3xFLAG</w:t>
            </w:r>
            <w:r w:rsidRPr="00E12392">
              <w:rPr>
                <w:rFonts w:ascii="Times New Roman" w:eastAsia="新細明體" w:hAnsi="Times New Roman" w:cs="Times New Roman" w:hint="eastAsia"/>
                <w:strike/>
                <w:sz w:val="21"/>
              </w:rPr>
              <w:t>-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dBCAS2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ms1096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,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ms1096-GAL4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/+;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UAS-dBCAS2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UAS-3xFLAG-dBCAS2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GFP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,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dBCAS2</w:t>
            </w:r>
          </w:p>
        </w:tc>
        <w:tc>
          <w:tcPr>
            <w:tcW w:w="2019" w:type="pct"/>
          </w:tcPr>
          <w:p w:rsidR="00C76F6C" w:rsidRPr="00E12392" w:rsidRDefault="00C76F6C" w:rsidP="00D0098E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UAS-GFP</w:t>
            </w:r>
            <w:r w:rsidR="00D0098E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="00D0098E"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en-GAL4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UAS-dBCAS2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UAS</w:t>
            </w:r>
            <w:r w:rsidRPr="00E12392">
              <w:rPr>
                <w:rFonts w:ascii="Times New Roman" w:eastAsia="新細明體" w:hAnsi="Times New Roman" w:cs="Times New Roman"/>
                <w:i/>
                <w:strike/>
                <w:sz w:val="21"/>
              </w:rPr>
              <w:t>-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841933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dBCAS2-depletion rescued with ectopic expression of hBCAS2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GFP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,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hBCAS2</w:t>
            </w:r>
          </w:p>
        </w:tc>
        <w:tc>
          <w:tcPr>
            <w:tcW w:w="2019" w:type="pct"/>
          </w:tcPr>
          <w:p w:rsidR="00C76F6C" w:rsidRPr="00E12392" w:rsidRDefault="00C76F6C" w:rsidP="00D0098E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-UAS-GFP</w:t>
            </w:r>
            <w:r w:rsidR="00D0098E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="00D0098E"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UAS-dBCAS2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, UAS-hBCAS2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p35 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overexpression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&gt;GFP, p35</w:t>
            </w:r>
          </w:p>
        </w:tc>
        <w:tc>
          <w:tcPr>
            <w:tcW w:w="2019" w:type="pct"/>
          </w:tcPr>
          <w:p w:rsidR="00C76F6C" w:rsidRPr="00E12392" w:rsidRDefault="00C76F6C" w:rsidP="00D0098E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-UAS-GFP</w:t>
            </w:r>
            <w:r w:rsidR="00D0098E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 GAL4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/+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 xml:space="preserve"> UAS-p35/+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841933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dBCAS2-depletion with p35 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overexpression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&gt;GFP, 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 p35</w:t>
            </w:r>
          </w:p>
        </w:tc>
        <w:tc>
          <w:tcPr>
            <w:tcW w:w="2019" w:type="pct"/>
          </w:tcPr>
          <w:p w:rsidR="00C76F6C" w:rsidRPr="00E12392" w:rsidRDefault="00C76F6C" w:rsidP="00841933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-UAS-GFP</w:t>
            </w:r>
            <w:r w:rsidR="00841933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 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UAS-dBCAS2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;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UAS-p35/+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Dl 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overexpression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C96&gt;Dl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C96-GAL4/UAS-Dl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841933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dBCAS2-depletion with Dl 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overexpression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C96&gt;dBCAS2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 Dl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</w:rPr>
              <w:t>UAS-dBCAS2</w:t>
            </w:r>
            <w:r w:rsidRPr="00E12392"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/>
                <w:i/>
                <w:iCs/>
                <w:sz w:val="21"/>
                <w:szCs w:val="24"/>
              </w:rPr>
              <w:t>/+; C96-GAL4/</w:t>
            </w:r>
            <w:r w:rsidRPr="00E12392">
              <w:rPr>
                <w:rFonts w:ascii="Times New Roman" w:eastAsia="新細明體" w:hAnsi="Times New Roman" w:cs="Times New Roman" w:hint="eastAsia"/>
                <w:i/>
                <w:iCs/>
                <w:sz w:val="21"/>
                <w:szCs w:val="24"/>
              </w:rPr>
              <w:t>UAS-Dl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391" w:type="pct"/>
            <w:vMerge w:val="restart"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E(</w:t>
            </w:r>
            <w:proofErr w:type="spellStart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spl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)m8-lacZ reporter</w:t>
            </w:r>
          </w:p>
        </w:tc>
        <w:tc>
          <w:tcPr>
            <w:tcW w:w="1042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Control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GFP</w:t>
            </w:r>
          </w:p>
        </w:tc>
        <w:tc>
          <w:tcPr>
            <w:tcW w:w="2019" w:type="pct"/>
          </w:tcPr>
          <w:p w:rsidR="00C76F6C" w:rsidRPr="00E12392" w:rsidRDefault="00C76F6C" w:rsidP="00E4119E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E(</w:t>
            </w: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spl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)m8-lacZ</w:t>
            </w:r>
            <w:r w:rsidR="00841933" w:rsidRPr="00E12392">
              <w:rPr>
                <w:rFonts w:ascii="Times New Roman" w:eastAsia="新細明體" w:hAnsi="Times New Roman" w:cs="Times New Roman"/>
                <w:sz w:val="21"/>
              </w:rPr>
              <w:t>/+;</w:t>
            </w:r>
            <w:r w:rsidR="00E4119E"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 </w:t>
            </w:r>
            <w:r w:rsidR="00841933" w:rsidRPr="00E12392">
              <w:rPr>
                <w:rFonts w:ascii="Times New Roman" w:eastAsia="新細明體" w:hAnsi="Times New Roman" w:cs="Times New Roman"/>
                <w:i/>
                <w:sz w:val="21"/>
              </w:rPr>
              <w:t>UAS-GFP</w:t>
            </w:r>
            <w:r w:rsidR="00841933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="00841933"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en-GAL4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</w:t>
            </w:r>
          </w:p>
        </w:tc>
      </w:tr>
      <w:tr w:rsidR="00E12392" w:rsidRPr="00E12392" w:rsidTr="00E519FF">
        <w:trPr>
          <w:trHeight w:val="1291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391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042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dBCAS2-depletion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GFP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,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A</w:t>
            </w:r>
          </w:p>
        </w:tc>
        <w:tc>
          <w:tcPr>
            <w:tcW w:w="2019" w:type="pct"/>
          </w:tcPr>
          <w:p w:rsidR="00C76F6C" w:rsidRPr="00E12392" w:rsidRDefault="00C76F6C" w:rsidP="00E4119E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E(</w:t>
            </w: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spl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)m8-lacZ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/+;</w:t>
            </w:r>
            <w:r w:rsidR="00E4119E"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UAS-GFP</w:t>
            </w:r>
            <w:r w:rsidR="00841933"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="00841933"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en-GAL4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UAS-dBCAS2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</w:p>
        </w:tc>
      </w:tr>
      <w:tr w:rsidR="00E12392" w:rsidRPr="00E12392" w:rsidTr="00E519FF">
        <w:trPr>
          <w:trHeight w:val="146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391" w:type="pct"/>
            <w:vMerge w:val="restart"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Dl-</w:t>
            </w:r>
            <w:proofErr w:type="spellStart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lacZ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 reporter</w:t>
            </w:r>
          </w:p>
        </w:tc>
        <w:tc>
          <w:tcPr>
            <w:tcW w:w="1042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Control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GFP</w:t>
            </w:r>
          </w:p>
        </w:tc>
        <w:tc>
          <w:tcPr>
            <w:tcW w:w="2019" w:type="pct"/>
          </w:tcPr>
          <w:p w:rsidR="00C76F6C" w:rsidRPr="00E12392" w:rsidRDefault="00C76F6C" w:rsidP="00841933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-UAS-GFP</w:t>
            </w:r>
            <w:r w:rsidR="00841933"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, GAL4</w:t>
            </w:r>
            <w:r w:rsidRPr="00E12392">
              <w:rPr>
                <w:rFonts w:ascii="Times New Roman" w:eastAsia="新細明體" w:hAnsi="Times New Roman" w:cs="Times New Roman"/>
                <w:sz w:val="21"/>
                <w:szCs w:val="24"/>
              </w:rPr>
              <w:t xml:space="preserve">/+;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Dl-</w:t>
            </w: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lacZ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  <w:szCs w:val="24"/>
              </w:rPr>
              <w:t>/+</w:t>
            </w:r>
          </w:p>
        </w:tc>
      </w:tr>
      <w:tr w:rsidR="00E12392" w:rsidRPr="00E12392" w:rsidTr="00E519FF">
        <w:trPr>
          <w:trHeight w:val="762"/>
        </w:trPr>
        <w:tc>
          <w:tcPr>
            <w:tcW w:w="245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391" w:type="pct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042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dBCAS2-depletion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en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GFP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,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A</w:t>
            </w:r>
          </w:p>
        </w:tc>
        <w:tc>
          <w:tcPr>
            <w:tcW w:w="2019" w:type="pct"/>
          </w:tcPr>
          <w:p w:rsidR="00C76F6C" w:rsidRPr="00E12392" w:rsidRDefault="00C76F6C" w:rsidP="00E4119E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UAS-GFP</w:t>
            </w:r>
            <w:r w:rsidR="00841933"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,</w:t>
            </w:r>
            <w:r w:rsidR="00E4119E"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 xml:space="preserve"> </w:t>
            </w:r>
            <w:r w:rsidR="00841933"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en-GAL4</w:t>
            </w:r>
            <w:r w:rsidR="00841933" w:rsidRPr="00E12392">
              <w:rPr>
                <w:rFonts w:ascii="Times New Roman" w:eastAsia="新細明體" w:hAnsi="Times New Roman" w:cs="Times New Roman"/>
                <w:sz w:val="21"/>
                <w:szCs w:val="24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/>
                <w:sz w:val="21"/>
                <w:szCs w:val="24"/>
              </w:rPr>
              <w:t>/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UAS-dBCAS2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/>
                <w:sz w:val="21"/>
                <w:szCs w:val="24"/>
              </w:rPr>
              <w:t xml:space="preserve">;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Dl-</w:t>
            </w:r>
            <w:proofErr w:type="spellStart"/>
            <w:r w:rsidRPr="00E12392"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  <w:t>lacZ</w:t>
            </w:r>
            <w:proofErr w:type="spellEnd"/>
            <w:r w:rsidRPr="00E12392">
              <w:rPr>
                <w:rFonts w:ascii="Times New Roman" w:eastAsia="新細明體" w:hAnsi="Times New Roman" w:cs="Times New Roman"/>
                <w:sz w:val="21"/>
                <w:szCs w:val="24"/>
              </w:rPr>
              <w:t>/+</w:t>
            </w:r>
          </w:p>
        </w:tc>
      </w:tr>
      <w:tr w:rsidR="00E12392" w:rsidRPr="00E12392" w:rsidTr="00E519FF">
        <w:trPr>
          <w:cantSplit/>
          <w:trHeight w:val="544"/>
        </w:trPr>
        <w:tc>
          <w:tcPr>
            <w:tcW w:w="245" w:type="pct"/>
            <w:vMerge w:val="restart"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lastRenderedPageBreak/>
              <w:t>Pupal retina</w:t>
            </w:r>
          </w:p>
        </w:tc>
        <w:tc>
          <w:tcPr>
            <w:tcW w:w="1433" w:type="pct"/>
            <w:gridSpan w:val="2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Control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GMR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+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GMR-GAL4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/+</w:t>
            </w:r>
          </w:p>
        </w:tc>
      </w:tr>
      <w:tr w:rsidR="00E12392" w:rsidRPr="00E12392" w:rsidTr="00E519FF">
        <w:trPr>
          <w:cantSplit/>
          <w:trHeight w:val="932"/>
        </w:trPr>
        <w:tc>
          <w:tcPr>
            <w:tcW w:w="245" w:type="pct"/>
            <w:vMerge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3xFLAG-dBCAS2 overexpression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GMR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GMR-GAL4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/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UAS-dBCAS2</w:t>
            </w:r>
          </w:p>
        </w:tc>
      </w:tr>
      <w:tr w:rsidR="00E12392" w:rsidRPr="00E12392" w:rsidTr="00E519FF">
        <w:trPr>
          <w:cantSplit/>
          <w:trHeight w:val="423"/>
        </w:trPr>
        <w:tc>
          <w:tcPr>
            <w:tcW w:w="245" w:type="pct"/>
            <w:vMerge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sz w:val="21"/>
              </w:rPr>
              <w:t>dBCAS2-deplet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GMR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GMR-GAL4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/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UAS-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</w:p>
        </w:tc>
      </w:tr>
      <w:tr w:rsidR="00E12392" w:rsidRPr="00E12392" w:rsidTr="00E519FF">
        <w:trPr>
          <w:cantSplit/>
          <w:trHeight w:val="423"/>
        </w:trPr>
        <w:tc>
          <w:tcPr>
            <w:tcW w:w="245" w:type="pct"/>
            <w:vMerge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Dl overexpression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GMR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Dl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GMR-GAL4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 xml:space="preserve">/+;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-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Dl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/+</w:t>
            </w:r>
          </w:p>
        </w:tc>
      </w:tr>
      <w:tr w:rsidR="00E12392" w:rsidRPr="00E12392" w:rsidTr="00E519FF">
        <w:trPr>
          <w:cantSplit/>
          <w:trHeight w:val="423"/>
        </w:trPr>
        <w:tc>
          <w:tcPr>
            <w:tcW w:w="245" w:type="pct"/>
            <w:vMerge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</w:tcPr>
          <w:p w:rsidR="00C76F6C" w:rsidRPr="00E12392" w:rsidRDefault="00C76F6C" w:rsidP="00841933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Dl</w:t>
            </w:r>
            <w:r w:rsidR="00841933"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overexpression rescued with depletion of dBCAS2</w:t>
            </w:r>
          </w:p>
        </w:tc>
        <w:tc>
          <w:tcPr>
            <w:tcW w:w="1303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GMR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Dl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 xml:space="preserve"> 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</w:p>
        </w:tc>
        <w:tc>
          <w:tcPr>
            <w:tcW w:w="2019" w:type="pct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GMR-GAL4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/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-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 xml:space="preserve">;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-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Dl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/+</w:t>
            </w:r>
          </w:p>
        </w:tc>
      </w:tr>
      <w:tr w:rsidR="00C76F6C" w:rsidRPr="00E12392" w:rsidTr="00E519FF">
        <w:trPr>
          <w:cantSplit/>
          <w:trHeight w:val="423"/>
        </w:trPr>
        <w:tc>
          <w:tcPr>
            <w:tcW w:w="245" w:type="pct"/>
            <w:vMerge/>
            <w:tcBorders>
              <w:bottom w:val="single" w:sz="4" w:space="0" w:color="auto"/>
            </w:tcBorders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C76F6C" w:rsidRPr="00E12392" w:rsidRDefault="00C76F6C" w:rsidP="00E4119E">
            <w:pPr>
              <w:rPr>
                <w:rFonts w:ascii="Times New Roman" w:eastAsia="新細明體" w:hAnsi="Times New Roman" w:cs="Times New Roman"/>
                <w:sz w:val="21"/>
              </w:rPr>
            </w:pPr>
            <w:proofErr w:type="spellStart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Coexpression</w:t>
            </w:r>
            <w:proofErr w:type="spellEnd"/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 of Dl and GFP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GMR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Dl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 xml:space="preserve"> GFP</w:t>
            </w:r>
          </w:p>
        </w:tc>
        <w:tc>
          <w:tcPr>
            <w:tcW w:w="2019" w:type="pct"/>
            <w:tcBorders>
              <w:bottom w:val="single" w:sz="4" w:space="0" w:color="auto"/>
            </w:tcBorders>
          </w:tcPr>
          <w:p w:rsidR="00C76F6C" w:rsidRPr="00E12392" w:rsidRDefault="00C76F6C" w:rsidP="00841933">
            <w:pPr>
              <w:jc w:val="both"/>
              <w:rPr>
                <w:rFonts w:ascii="Times New Roman" w:eastAsia="新細明體" w:hAnsi="Times New Roman" w:cs="Times New Roman"/>
                <w:i/>
                <w:sz w:val="21"/>
                <w:szCs w:val="24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UAS-GFP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/+;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GMR-GAL4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 xml:space="preserve">/+;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-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szCs w:val="24"/>
              </w:rPr>
              <w:t>Dl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/+</w:t>
            </w:r>
          </w:p>
        </w:tc>
      </w:tr>
    </w:tbl>
    <w:p w:rsidR="00C76F6C" w:rsidRPr="00E12392" w:rsidRDefault="00C76F6C" w:rsidP="00C76F6C">
      <w:pPr>
        <w:suppressLineNumbers/>
        <w:jc w:val="both"/>
        <w:rPr>
          <w:rFonts w:ascii="Times New Roman" w:eastAsia="新細明體" w:hAnsi="Times New Roman" w:cs="Times New Roman"/>
          <w:sz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227"/>
        <w:gridCol w:w="2232"/>
        <w:gridCol w:w="3480"/>
      </w:tblGrid>
      <w:tr w:rsidR="00E12392" w:rsidRPr="00E12392" w:rsidTr="00E519FF">
        <w:tc>
          <w:tcPr>
            <w:tcW w:w="10988" w:type="dxa"/>
            <w:gridSpan w:val="4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For 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  <w:szCs w:val="24"/>
              </w:rPr>
              <w:t>quantitative RT-PCR analysis</w:t>
            </w:r>
          </w:p>
        </w:tc>
      </w:tr>
      <w:tr w:rsidR="00E12392" w:rsidRPr="00E12392" w:rsidTr="00E519FF">
        <w:tc>
          <w:tcPr>
            <w:tcW w:w="582" w:type="dxa"/>
            <w:vMerge w:val="restart"/>
            <w:textDirection w:val="btLr"/>
          </w:tcPr>
          <w:p w:rsidR="00C76F6C" w:rsidRPr="00E12392" w:rsidRDefault="00C76F6C" w:rsidP="00E519FF">
            <w:pPr>
              <w:ind w:left="113" w:right="113"/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CNSs and imaginal discs</w:t>
            </w:r>
          </w:p>
        </w:tc>
        <w:tc>
          <w:tcPr>
            <w:tcW w:w="3070" w:type="dxa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Control</w:t>
            </w:r>
          </w:p>
        </w:tc>
        <w:tc>
          <w:tcPr>
            <w:tcW w:w="2693" w:type="dxa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Act5C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&gt;+</w:t>
            </w:r>
          </w:p>
        </w:tc>
        <w:tc>
          <w:tcPr>
            <w:tcW w:w="4643" w:type="dxa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Act5C-GAL4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/+</w:t>
            </w:r>
          </w:p>
        </w:tc>
      </w:tr>
      <w:tr w:rsidR="00E12392" w:rsidRPr="00E12392" w:rsidTr="00E519FF">
        <w:tc>
          <w:tcPr>
            <w:tcW w:w="582" w:type="dxa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3070" w:type="dxa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sz w:val="21"/>
              </w:rPr>
              <w:t>dBCAS2-deplet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ion</w:t>
            </w:r>
          </w:p>
        </w:tc>
        <w:tc>
          <w:tcPr>
            <w:tcW w:w="2693" w:type="dxa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Act5C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A</w:t>
            </w:r>
          </w:p>
        </w:tc>
        <w:tc>
          <w:tcPr>
            <w:tcW w:w="4643" w:type="dxa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Act5C-GAL4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-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A</w:t>
            </w:r>
          </w:p>
        </w:tc>
      </w:tr>
      <w:tr w:rsidR="00E12392" w:rsidRPr="00E12392" w:rsidTr="00E519FF">
        <w:tc>
          <w:tcPr>
            <w:tcW w:w="582" w:type="dxa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3070" w:type="dxa"/>
          </w:tcPr>
          <w:p w:rsidR="00C76F6C" w:rsidRPr="00E12392" w:rsidRDefault="00C76F6C" w:rsidP="00E4119E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dBCAS2-depletion rescued with ectopic expression of hBCAS2</w:t>
            </w:r>
          </w:p>
        </w:tc>
        <w:tc>
          <w:tcPr>
            <w:tcW w:w="2693" w:type="dxa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Act5C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hBCAS2</w:t>
            </w:r>
          </w:p>
        </w:tc>
        <w:tc>
          <w:tcPr>
            <w:tcW w:w="4643" w:type="dxa"/>
          </w:tcPr>
          <w:p w:rsidR="00C76F6C" w:rsidRPr="00E12392" w:rsidRDefault="00C76F6C" w:rsidP="00E4119E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Act5C-GAL4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-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-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>hBCAS2</w:t>
            </w:r>
          </w:p>
        </w:tc>
      </w:tr>
      <w:tr w:rsidR="00C76F6C" w:rsidRPr="00E12392" w:rsidTr="00E519FF">
        <w:tc>
          <w:tcPr>
            <w:tcW w:w="582" w:type="dxa"/>
            <w:vMerge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</w:p>
        </w:tc>
        <w:tc>
          <w:tcPr>
            <w:tcW w:w="3070" w:type="dxa"/>
          </w:tcPr>
          <w:p w:rsidR="00C76F6C" w:rsidRPr="00E12392" w:rsidRDefault="00C76F6C" w:rsidP="00E4119E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/>
                <w:sz w:val="21"/>
              </w:rPr>
              <w:t>dBCAS2-deplet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ion rescued with ectopic expression of 3xFLAG-dBCAS2</w:t>
            </w:r>
          </w:p>
        </w:tc>
        <w:tc>
          <w:tcPr>
            <w:tcW w:w="2693" w:type="dxa"/>
          </w:tcPr>
          <w:p w:rsidR="00C76F6C" w:rsidRPr="00E12392" w:rsidRDefault="00C76F6C" w:rsidP="00E519FF">
            <w:pPr>
              <w:jc w:val="both"/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Act5C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&gt;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 xml:space="preserve">,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</w:p>
        </w:tc>
        <w:tc>
          <w:tcPr>
            <w:tcW w:w="4643" w:type="dxa"/>
          </w:tcPr>
          <w:p w:rsidR="00C76F6C" w:rsidRPr="00E12392" w:rsidRDefault="00C76F6C" w:rsidP="00E4119E">
            <w:pPr>
              <w:rPr>
                <w:rFonts w:ascii="Times New Roman" w:eastAsia="新細明體" w:hAnsi="Times New Roman" w:cs="Times New Roman"/>
                <w:sz w:val="21"/>
              </w:rPr>
            </w:pP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Act5C-GAL4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/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-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</w:rPr>
              <w:t xml:space="preserve"> dBCAS2</w:t>
            </w:r>
            <w:r w:rsidRPr="00E12392">
              <w:rPr>
                <w:rFonts w:ascii="Times New Roman" w:eastAsia="新細明體" w:hAnsi="Times New Roman" w:cs="Times New Roman"/>
                <w:i/>
                <w:sz w:val="21"/>
                <w:vertAlign w:val="superscript"/>
              </w:rPr>
              <w:t>dsRNA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,</w:t>
            </w:r>
            <w:r w:rsidRPr="00E12392">
              <w:rPr>
                <w:rFonts w:ascii="Times New Roman" w:eastAsia="新細明體" w:hAnsi="Times New Roman" w:cs="Times New Roman"/>
                <w:sz w:val="21"/>
              </w:rPr>
              <w:t xml:space="preserve"> 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UAS</w:t>
            </w:r>
            <w:r w:rsidRPr="00E12392">
              <w:rPr>
                <w:rFonts w:ascii="Times New Roman" w:eastAsia="新細明體" w:hAnsi="Times New Roman" w:cs="Times New Roman" w:hint="eastAsia"/>
                <w:sz w:val="21"/>
              </w:rPr>
              <w:t>-</w:t>
            </w:r>
            <w:r w:rsidRPr="00E12392">
              <w:rPr>
                <w:rFonts w:ascii="Times New Roman" w:eastAsia="新細明體" w:hAnsi="Times New Roman" w:cs="Times New Roman" w:hint="eastAsia"/>
                <w:i/>
                <w:sz w:val="21"/>
              </w:rPr>
              <w:t>dBCAS2</w:t>
            </w:r>
          </w:p>
        </w:tc>
      </w:tr>
      <w:bookmarkEnd w:id="0"/>
    </w:tbl>
    <w:p w:rsidR="00C97DF1" w:rsidRPr="00E12392" w:rsidRDefault="00C97DF1"/>
    <w:sectPr w:rsidR="00C97DF1" w:rsidRPr="00E123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37" w:rsidRDefault="00B35337" w:rsidP="00D0098E">
      <w:r>
        <w:separator/>
      </w:r>
    </w:p>
  </w:endnote>
  <w:endnote w:type="continuationSeparator" w:id="0">
    <w:p w:rsidR="00B35337" w:rsidRDefault="00B35337" w:rsidP="00D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37" w:rsidRDefault="00B35337" w:rsidP="00D0098E">
      <w:r>
        <w:separator/>
      </w:r>
    </w:p>
  </w:footnote>
  <w:footnote w:type="continuationSeparator" w:id="0">
    <w:p w:rsidR="00B35337" w:rsidRDefault="00B35337" w:rsidP="00D0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C"/>
    <w:rsid w:val="004E0FD2"/>
    <w:rsid w:val="00841933"/>
    <w:rsid w:val="00B35337"/>
    <w:rsid w:val="00C76F6C"/>
    <w:rsid w:val="00C97DF1"/>
    <w:rsid w:val="00D0098E"/>
    <w:rsid w:val="00DE7AFB"/>
    <w:rsid w:val="00E12392"/>
    <w:rsid w:val="00E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D2"/>
    <w:pPr>
      <w:ind w:leftChars="200" w:left="480"/>
    </w:pPr>
  </w:style>
  <w:style w:type="table" w:styleId="a4">
    <w:name w:val="Table Grid"/>
    <w:basedOn w:val="a1"/>
    <w:uiPriority w:val="59"/>
    <w:rsid w:val="00C7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0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09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9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D2"/>
    <w:pPr>
      <w:ind w:leftChars="200" w:left="480"/>
    </w:pPr>
  </w:style>
  <w:style w:type="table" w:styleId="a4">
    <w:name w:val="Table Grid"/>
    <w:basedOn w:val="a1"/>
    <w:uiPriority w:val="59"/>
    <w:rsid w:val="00C7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0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09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9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2051</Characters>
  <Application>Microsoft Office Word</Application>
  <DocSecurity>0</DocSecurity>
  <Lines>17</Lines>
  <Paragraphs>4</Paragraphs>
  <ScaleCrop>false</ScaleCrop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2015-01-21T02:08:00Z</dcterms:created>
  <dcterms:modified xsi:type="dcterms:W3CDTF">2015-03-04T06:40:00Z</dcterms:modified>
</cp:coreProperties>
</file>