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  <w:r>
        <w:rPr>
          <w:rFonts w:eastAsia="Times New Roman" w:cstheme="minorHAnsi"/>
          <w:b/>
          <w:lang w:val="en-CA" w:eastAsia="en-CA"/>
        </w:rPr>
        <w:t>Annex 3</w:t>
      </w:r>
      <w:r w:rsidRPr="00D07A17">
        <w:rPr>
          <w:rFonts w:eastAsia="Times New Roman" w:cstheme="minorHAnsi"/>
          <w:b/>
          <w:lang w:val="en-CA" w:eastAsia="en-CA"/>
        </w:rPr>
        <w:t xml:space="preserve"> </w:t>
      </w:r>
      <w:r w:rsidR="00325503">
        <w:rPr>
          <w:rFonts w:eastAsia="Times New Roman" w:cstheme="minorHAnsi"/>
          <w:lang w:val="en-CA" w:eastAsia="en-CA"/>
        </w:rPr>
        <w:t>Characteristics</w:t>
      </w:r>
      <w:r w:rsidR="003B240B">
        <w:rPr>
          <w:rFonts w:eastAsia="Times New Roman" w:cstheme="minorHAnsi"/>
          <w:lang w:val="en-CA" w:eastAsia="en-CA"/>
        </w:rPr>
        <w:t xml:space="preserve"> of salt reduction strategies extracted</w:t>
      </w:r>
    </w:p>
    <w:p w:rsidR="00D07A17" w:rsidRDefault="00D07A17" w:rsidP="00D07A17">
      <w:pPr>
        <w:spacing w:after="0" w:line="240" w:lineRule="auto"/>
        <w:rPr>
          <w:rFonts w:eastAsia="Times New Roman" w:cstheme="minorHAnsi"/>
          <w:lang w:val="en-CA" w:eastAsia="en-CA"/>
        </w:rPr>
      </w:pPr>
    </w:p>
    <w:p w:rsidR="00FB513C" w:rsidRPr="00FB513C" w:rsidRDefault="00FB513C" w:rsidP="00FB513C">
      <w:pPr>
        <w:spacing w:after="0" w:line="240" w:lineRule="auto"/>
        <w:rPr>
          <w:rFonts w:eastAsia="Times New Roman" w:cstheme="minorHAnsi"/>
          <w:b/>
          <w:lang w:val="en-CA" w:eastAsia="en-CA"/>
        </w:rPr>
      </w:pPr>
      <w:r w:rsidRPr="00FB513C">
        <w:rPr>
          <w:rFonts w:eastAsia="Times New Roman" w:cstheme="minorHAnsi"/>
          <w:b/>
          <w:lang w:val="en-CA" w:eastAsia="en-CA"/>
        </w:rPr>
        <w:t>Leadership and strategic approach</w:t>
      </w:r>
    </w:p>
    <w:p w:rsidR="00FB513C" w:rsidRPr="00FB513C" w:rsidRDefault="00FB513C" w:rsidP="00FB513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>Leadership – the organization leadin</w:t>
      </w:r>
      <w:r w:rsidR="0019242F">
        <w:rPr>
          <w:rFonts w:eastAsia="Times New Roman" w:cstheme="minorHAnsi"/>
          <w:lang w:val="en-CA" w:eastAsia="en-CA"/>
        </w:rPr>
        <w:t>g or coordinating the programme</w:t>
      </w:r>
    </w:p>
    <w:p w:rsidR="00FB513C" w:rsidRPr="00FB513C" w:rsidRDefault="00FB513C" w:rsidP="00FB513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>Dietary targets – presence of an agreed national population target for salt consumption with target amount.</w:t>
      </w:r>
    </w:p>
    <w:p w:rsidR="00FB513C" w:rsidRPr="00FB513C" w:rsidRDefault="00FB513C" w:rsidP="00FB513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>Programme specificity – whether the strategy was salt-specific or a part of a broader health programme.</w:t>
      </w:r>
    </w:p>
    <w:p w:rsidR="00FB513C" w:rsidRPr="00FB513C" w:rsidRDefault="00FB513C" w:rsidP="00FB513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>NGO/advocacy action – the presence of consumer/advocac</w:t>
      </w:r>
      <w:r>
        <w:rPr>
          <w:rFonts w:eastAsia="Times New Roman" w:cstheme="minorHAnsi"/>
          <w:lang w:val="en-CA" w:eastAsia="en-CA"/>
        </w:rPr>
        <w:t>y organizations working on salt</w:t>
      </w:r>
    </w:p>
    <w:p w:rsidR="00FB513C" w:rsidRPr="00FB513C" w:rsidRDefault="00FB513C" w:rsidP="00FB513C">
      <w:pPr>
        <w:spacing w:after="0" w:line="240" w:lineRule="auto"/>
        <w:rPr>
          <w:rFonts w:eastAsia="Times New Roman" w:cstheme="minorHAnsi"/>
          <w:b/>
          <w:lang w:val="en-CA" w:eastAsia="en-CA"/>
        </w:rPr>
      </w:pPr>
      <w:r w:rsidRPr="00FB513C">
        <w:rPr>
          <w:rFonts w:eastAsia="Times New Roman" w:cstheme="minorHAnsi"/>
          <w:b/>
          <w:lang w:val="en-CA" w:eastAsia="en-CA"/>
        </w:rPr>
        <w:t>Baseline assessments and monitoring</w:t>
      </w:r>
    </w:p>
    <w:p w:rsidR="00FB513C" w:rsidRPr="00FB513C" w:rsidRDefault="00FB513C" w:rsidP="00FB513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 xml:space="preserve">Salt intakes – estimated mean baseline salt intakes </w:t>
      </w:r>
      <w:r>
        <w:rPr>
          <w:rFonts w:eastAsia="Times New Roman" w:cstheme="minorHAnsi"/>
          <w:lang w:val="en-CA" w:eastAsia="en-CA"/>
        </w:rPr>
        <w:t>and method of measurement</w:t>
      </w:r>
    </w:p>
    <w:p w:rsidR="00FB513C" w:rsidRPr="00FB513C" w:rsidRDefault="00FB513C" w:rsidP="00FB513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>Salt levels in foods – whether countries had recorded</w:t>
      </w:r>
      <w:r>
        <w:rPr>
          <w:rFonts w:eastAsia="Times New Roman" w:cstheme="minorHAnsi"/>
          <w:lang w:val="en-CA" w:eastAsia="en-CA"/>
        </w:rPr>
        <w:t xml:space="preserve"> salt levels in processed foods and method of measurement</w:t>
      </w:r>
    </w:p>
    <w:p w:rsidR="00FB513C" w:rsidRPr="00FB513C" w:rsidRDefault="00FB513C" w:rsidP="00FB513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>Consumer awareness – whether countries had a baseline measure of co</w:t>
      </w:r>
      <w:r>
        <w:rPr>
          <w:rFonts w:eastAsia="Times New Roman" w:cstheme="minorHAnsi"/>
          <w:lang w:val="en-CA" w:eastAsia="en-CA"/>
        </w:rPr>
        <w:t>nsumer awareness or behaviours</w:t>
      </w:r>
    </w:p>
    <w:p w:rsidR="00FB513C" w:rsidRPr="00FB513C" w:rsidRDefault="00FB513C" w:rsidP="00FB513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 xml:space="preserve">Monitoring – whether or not monitoring systems are in place in relation to each of these criteria. </w:t>
      </w:r>
    </w:p>
    <w:p w:rsidR="00FB513C" w:rsidRPr="00FB513C" w:rsidRDefault="00FB513C" w:rsidP="00FB513C">
      <w:pPr>
        <w:spacing w:after="0" w:line="240" w:lineRule="auto"/>
        <w:rPr>
          <w:rFonts w:eastAsia="Times New Roman" w:cstheme="minorHAnsi"/>
          <w:b/>
          <w:lang w:val="en-CA" w:eastAsia="en-CA"/>
        </w:rPr>
      </w:pPr>
      <w:r w:rsidRPr="00FB513C">
        <w:rPr>
          <w:rFonts w:eastAsia="Times New Roman" w:cstheme="minorHAnsi"/>
          <w:b/>
          <w:lang w:val="en-CA" w:eastAsia="en-CA"/>
        </w:rPr>
        <w:t>Implementation strategies</w:t>
      </w:r>
    </w:p>
    <w:p w:rsidR="00FB513C" w:rsidRPr="00FB513C" w:rsidRDefault="00FB513C" w:rsidP="00FB513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>Food reformulation – whether the programme included work with the food industry to reformulate foods and whether the appro</w:t>
      </w:r>
      <w:r>
        <w:rPr>
          <w:rFonts w:eastAsia="Times New Roman" w:cstheme="minorHAnsi"/>
          <w:lang w:val="en-CA" w:eastAsia="en-CA"/>
        </w:rPr>
        <w:t xml:space="preserve">ach was voluntary or mandatory </w:t>
      </w:r>
    </w:p>
    <w:p w:rsidR="00325503" w:rsidRDefault="00325503" w:rsidP="0032550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19242F">
        <w:rPr>
          <w:rFonts w:eastAsia="Times New Roman" w:cstheme="minorHAnsi"/>
          <w:lang w:val="en-CA" w:eastAsia="en-CA"/>
        </w:rPr>
        <w:t>Targets for salt levels in foods</w:t>
      </w:r>
      <w:r w:rsidRPr="0019242F">
        <w:rPr>
          <w:rFonts w:eastAsia="Times New Roman" w:cstheme="minorHAnsi"/>
          <w:b/>
          <w:lang w:val="en-CA" w:eastAsia="en-CA"/>
        </w:rPr>
        <w:t xml:space="preserve"> - </w:t>
      </w:r>
      <w:r w:rsidRPr="0019242F">
        <w:rPr>
          <w:rFonts w:eastAsia="Times New Roman" w:cstheme="minorHAnsi"/>
          <w:lang w:val="en-CA" w:eastAsia="en-CA"/>
        </w:rPr>
        <w:t>whether the program of work with industry included the establishment of voluntary or mandatory salt level targets for foods</w:t>
      </w:r>
    </w:p>
    <w:p w:rsidR="00FB513C" w:rsidRPr="00FB513C" w:rsidRDefault="00FB513C" w:rsidP="00FB513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>Consumer behaviour – whether there was a consumer awareness campaign and whether this was led by a NGO or Government.</w:t>
      </w:r>
    </w:p>
    <w:p w:rsidR="0019242F" w:rsidRDefault="00FB513C" w:rsidP="0019242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FB513C">
        <w:rPr>
          <w:rFonts w:eastAsia="Times New Roman" w:cstheme="minorHAnsi"/>
          <w:lang w:val="en-CA" w:eastAsia="en-CA"/>
        </w:rPr>
        <w:t>Labelling – whether any new front-of-pack label</w:t>
      </w:r>
      <w:r w:rsidR="0019242F">
        <w:rPr>
          <w:rFonts w:eastAsia="Times New Roman" w:cstheme="minorHAnsi"/>
          <w:lang w:val="en-CA" w:eastAsia="en-CA"/>
        </w:rPr>
        <w:t>ling scheme such as warnings, traffic lights</w:t>
      </w:r>
      <w:r w:rsidRPr="00FB513C">
        <w:rPr>
          <w:rFonts w:eastAsia="Times New Roman" w:cstheme="minorHAnsi"/>
          <w:lang w:val="en-CA" w:eastAsia="en-CA"/>
        </w:rPr>
        <w:t>, percentage daily intak</w:t>
      </w:r>
      <w:r w:rsidR="0019242F">
        <w:rPr>
          <w:rFonts w:eastAsia="Times New Roman" w:cstheme="minorHAnsi"/>
          <w:lang w:val="en-CA" w:eastAsia="en-CA"/>
        </w:rPr>
        <w:t>e or Guideline Daily Amount</w:t>
      </w:r>
      <w:r w:rsidRPr="00FB513C">
        <w:rPr>
          <w:rFonts w:eastAsia="Times New Roman" w:cstheme="minorHAnsi"/>
          <w:lang w:val="en-CA" w:eastAsia="en-CA"/>
        </w:rPr>
        <w:t xml:space="preserve">, or </w:t>
      </w:r>
      <w:r w:rsidR="0019242F">
        <w:rPr>
          <w:rFonts w:eastAsia="Times New Roman" w:cstheme="minorHAnsi"/>
          <w:lang w:val="en-CA" w:eastAsia="en-CA"/>
        </w:rPr>
        <w:t>symbol or logo</w:t>
      </w:r>
      <w:r w:rsidRPr="00FB513C">
        <w:rPr>
          <w:rFonts w:eastAsia="Times New Roman" w:cstheme="minorHAnsi"/>
          <w:lang w:val="en-CA" w:eastAsia="en-CA"/>
        </w:rPr>
        <w:t xml:space="preserve"> </w:t>
      </w:r>
      <w:r w:rsidR="0019242F">
        <w:rPr>
          <w:rFonts w:eastAsia="Times New Roman" w:cstheme="minorHAnsi"/>
          <w:lang w:val="en-CA" w:eastAsia="en-CA"/>
        </w:rPr>
        <w:t xml:space="preserve">scheme </w:t>
      </w:r>
      <w:r w:rsidRPr="00FB513C">
        <w:rPr>
          <w:rFonts w:eastAsia="Times New Roman" w:cstheme="minorHAnsi"/>
          <w:lang w:val="en-CA" w:eastAsia="en-CA"/>
        </w:rPr>
        <w:t>had been introduced as part of the salt reduction programme and whether this was voluntary or m</w:t>
      </w:r>
      <w:r w:rsidR="0019242F">
        <w:rPr>
          <w:rFonts w:eastAsia="Times New Roman" w:cstheme="minorHAnsi"/>
          <w:lang w:val="en-CA" w:eastAsia="en-CA"/>
        </w:rPr>
        <w:t>andatory</w:t>
      </w:r>
      <w:r w:rsidRPr="00FB513C">
        <w:rPr>
          <w:rFonts w:eastAsia="Times New Roman" w:cstheme="minorHAnsi"/>
          <w:lang w:val="en-CA" w:eastAsia="en-CA"/>
        </w:rPr>
        <w:t>.</w:t>
      </w:r>
      <w:bookmarkStart w:id="0" w:name="_GoBack"/>
      <w:bookmarkEnd w:id="0"/>
    </w:p>
    <w:p w:rsidR="0019242F" w:rsidRDefault="0019242F" w:rsidP="0019242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19242F">
        <w:rPr>
          <w:rFonts w:eastAsia="Times New Roman" w:cstheme="minorHAnsi"/>
          <w:lang w:val="en-CA" w:eastAsia="en-CA"/>
        </w:rPr>
        <w:t>Taxation on high salt products</w:t>
      </w:r>
      <w:r w:rsidRPr="0019242F">
        <w:rPr>
          <w:rFonts w:eastAsia="Times New Roman" w:cstheme="minorHAnsi"/>
          <w:b/>
          <w:lang w:val="en-CA" w:eastAsia="en-CA"/>
        </w:rPr>
        <w:t xml:space="preserve"> – </w:t>
      </w:r>
      <w:r w:rsidRPr="0019242F">
        <w:rPr>
          <w:rFonts w:eastAsia="Times New Roman" w:cstheme="minorHAnsi"/>
          <w:lang w:val="en-CA" w:eastAsia="en-CA"/>
        </w:rPr>
        <w:t>whether the country had established a tax on high salt products</w:t>
      </w:r>
    </w:p>
    <w:p w:rsidR="0019242F" w:rsidRPr="0019242F" w:rsidRDefault="0019242F" w:rsidP="0019242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19242F">
        <w:rPr>
          <w:rFonts w:eastAsia="Times New Roman" w:cstheme="minorHAnsi"/>
          <w:lang w:val="en-CA" w:eastAsia="en-CA"/>
        </w:rPr>
        <w:t xml:space="preserve">Work in public institution settings – whether there were any salt reduction strategies targeting public institution settings including schools, hospitals, workplaces or other public institutions through education about salt and health, food procurement policy with a sodium/salt criteria, voluntary guidelines for salt/sodium levels in foods or other activities </w:t>
      </w:r>
    </w:p>
    <w:p w:rsidR="00D07A17" w:rsidRPr="00D07A17" w:rsidRDefault="00D07A17" w:rsidP="00D07A17">
      <w:pPr>
        <w:spacing w:after="0" w:line="240" w:lineRule="auto"/>
        <w:rPr>
          <w:rFonts w:eastAsia="Times New Roman" w:cstheme="minorHAnsi"/>
          <w:b/>
          <w:lang w:val="en-CA" w:eastAsia="en-CA"/>
        </w:rPr>
      </w:pPr>
      <w:r w:rsidRPr="00D07A17">
        <w:rPr>
          <w:rFonts w:eastAsia="Times New Roman" w:cstheme="minorHAnsi"/>
          <w:b/>
          <w:lang w:val="en-CA" w:eastAsia="en-CA"/>
        </w:rPr>
        <w:t xml:space="preserve">Evaluation </w:t>
      </w:r>
    </w:p>
    <w:p w:rsidR="00D07A17" w:rsidRPr="0019242F" w:rsidRDefault="00445060" w:rsidP="000E0721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eastAsia="Times New Roman" w:cstheme="minorHAnsi"/>
          <w:lang w:val="en-CA" w:eastAsia="en-CA"/>
        </w:rPr>
      </w:pPr>
      <w:r w:rsidRPr="0019242F">
        <w:rPr>
          <w:rFonts w:eastAsia="Times New Roman" w:cstheme="minorHAnsi"/>
          <w:lang w:val="en-CA" w:eastAsia="en-CA"/>
        </w:rPr>
        <w:t xml:space="preserve">Change in salt intake- whether </w:t>
      </w:r>
      <w:r w:rsidR="003A6166" w:rsidRPr="0019242F">
        <w:rPr>
          <w:rFonts w:eastAsia="Times New Roman" w:cstheme="minorHAnsi"/>
          <w:lang w:val="en-CA" w:eastAsia="en-CA"/>
        </w:rPr>
        <w:t>the country</w:t>
      </w:r>
      <w:r w:rsidRPr="0019242F">
        <w:rPr>
          <w:rFonts w:eastAsia="Times New Roman" w:cstheme="minorHAnsi"/>
          <w:lang w:val="en-CA" w:eastAsia="en-CA"/>
        </w:rPr>
        <w:t xml:space="preserve"> reported changes in </w:t>
      </w:r>
      <w:r w:rsidR="00D07A17" w:rsidRPr="0019242F">
        <w:rPr>
          <w:rFonts w:eastAsia="Times New Roman" w:cstheme="minorHAnsi"/>
          <w:lang w:val="en-CA" w:eastAsia="en-CA"/>
        </w:rPr>
        <w:t>population salt intake</w:t>
      </w:r>
      <w:r w:rsidRPr="0019242F">
        <w:rPr>
          <w:rFonts w:eastAsia="Times New Roman" w:cstheme="minorHAnsi"/>
          <w:lang w:val="en-CA" w:eastAsia="en-CA"/>
        </w:rPr>
        <w:t>, what was the assessment method and what were the baseline and follow-up salt intake</w:t>
      </w:r>
      <w:r w:rsidR="00D07A17" w:rsidRPr="0019242F">
        <w:rPr>
          <w:rFonts w:eastAsia="Times New Roman" w:cstheme="minorHAnsi"/>
          <w:lang w:val="en-CA" w:eastAsia="en-CA"/>
        </w:rPr>
        <w:t xml:space="preserve"> </w:t>
      </w:r>
    </w:p>
    <w:p w:rsidR="00D07A17" w:rsidRPr="0019242F" w:rsidRDefault="00D07A17" w:rsidP="000E0721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eastAsia="Times New Roman" w:cstheme="minorHAnsi"/>
          <w:lang w:val="en-CA" w:eastAsia="en-CA"/>
        </w:rPr>
      </w:pPr>
      <w:r w:rsidRPr="0019242F">
        <w:rPr>
          <w:rFonts w:eastAsia="Times New Roman" w:cstheme="minorHAnsi"/>
          <w:lang w:val="en-CA" w:eastAsia="en-CA"/>
        </w:rPr>
        <w:t xml:space="preserve">Change in salt levels in foods- </w:t>
      </w:r>
      <w:r w:rsidR="00445060" w:rsidRPr="0019242F">
        <w:rPr>
          <w:rFonts w:eastAsia="Times New Roman" w:cstheme="minorHAnsi"/>
          <w:lang w:val="en-CA" w:eastAsia="en-CA"/>
        </w:rPr>
        <w:t>whether the country had reported changes in salt levels of foods, what was the methods of measurement and what the baseline and follow-up salt levels were in specific food categories</w:t>
      </w:r>
      <w:r w:rsidRPr="0019242F">
        <w:rPr>
          <w:rFonts w:eastAsia="Times New Roman" w:cstheme="minorHAnsi"/>
          <w:lang w:val="en-CA" w:eastAsia="en-CA"/>
        </w:rPr>
        <w:t xml:space="preserve">.  </w:t>
      </w:r>
    </w:p>
    <w:p w:rsidR="00445060" w:rsidRDefault="00D07A17" w:rsidP="000E0721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eastAsia="Times New Roman" w:cstheme="minorHAnsi"/>
          <w:lang w:val="en-CA" w:eastAsia="en-CA"/>
        </w:rPr>
      </w:pPr>
      <w:r w:rsidRPr="0019242F">
        <w:rPr>
          <w:rFonts w:eastAsia="Times New Roman" w:cstheme="minorHAnsi"/>
          <w:lang w:val="en-CA" w:eastAsia="en-CA"/>
        </w:rPr>
        <w:t>Change in consumer knowledge,</w:t>
      </w:r>
      <w:r w:rsidR="00445060" w:rsidRPr="0019242F">
        <w:rPr>
          <w:rFonts w:eastAsia="Times New Roman" w:cstheme="minorHAnsi"/>
          <w:lang w:val="en-CA" w:eastAsia="en-CA"/>
        </w:rPr>
        <w:t xml:space="preserve"> attitudes and behaviour (KAB)-</w:t>
      </w:r>
      <w:r w:rsidR="00445060">
        <w:rPr>
          <w:rFonts w:eastAsia="Times New Roman" w:cstheme="minorHAnsi"/>
          <w:b/>
          <w:lang w:val="en-CA" w:eastAsia="en-CA"/>
        </w:rPr>
        <w:t xml:space="preserve"> </w:t>
      </w:r>
      <w:r w:rsidR="00445060">
        <w:rPr>
          <w:rFonts w:eastAsia="Times New Roman" w:cstheme="minorHAnsi"/>
          <w:lang w:val="en-CA" w:eastAsia="en-CA"/>
        </w:rPr>
        <w:t xml:space="preserve">whether </w:t>
      </w:r>
      <w:r w:rsidR="003A6166">
        <w:rPr>
          <w:rFonts w:eastAsia="Times New Roman" w:cstheme="minorHAnsi"/>
          <w:lang w:val="en-CA" w:eastAsia="en-CA"/>
        </w:rPr>
        <w:t>the country reported changes in consumer knowledge, attitudes and behaviour in relation to salt, what was the methods of measurement and what were the baseline and follow-up data</w:t>
      </w:r>
    </w:p>
    <w:p w:rsidR="005D43A7" w:rsidRPr="00D07A17" w:rsidRDefault="005D43A7">
      <w:pPr>
        <w:rPr>
          <w:b/>
        </w:rPr>
      </w:pPr>
    </w:p>
    <w:p w:rsidR="00807317" w:rsidRDefault="00807317"/>
    <w:sectPr w:rsidR="008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563"/>
    <w:multiLevelType w:val="hybridMultilevel"/>
    <w:tmpl w:val="8D186E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5A41"/>
    <w:multiLevelType w:val="hybridMultilevel"/>
    <w:tmpl w:val="57745B5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2E4"/>
    <w:multiLevelType w:val="hybridMultilevel"/>
    <w:tmpl w:val="59DA55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F6E32"/>
    <w:multiLevelType w:val="hybridMultilevel"/>
    <w:tmpl w:val="8E18C8B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2A4A"/>
    <w:multiLevelType w:val="hybridMultilevel"/>
    <w:tmpl w:val="7E8E90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3DD4"/>
    <w:multiLevelType w:val="hybridMultilevel"/>
    <w:tmpl w:val="47BC7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70F1"/>
    <w:multiLevelType w:val="hybridMultilevel"/>
    <w:tmpl w:val="BD6EBEDA"/>
    <w:lvl w:ilvl="0" w:tplc="17F2086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F"/>
    <w:rsid w:val="00033ABF"/>
    <w:rsid w:val="000E0721"/>
    <w:rsid w:val="0019242F"/>
    <w:rsid w:val="00325503"/>
    <w:rsid w:val="003A6166"/>
    <w:rsid w:val="003B240B"/>
    <w:rsid w:val="00445060"/>
    <w:rsid w:val="005D43A7"/>
    <w:rsid w:val="007212D5"/>
    <w:rsid w:val="007F76ED"/>
    <w:rsid w:val="00807317"/>
    <w:rsid w:val="00CE3B9B"/>
    <w:rsid w:val="00D07A17"/>
    <w:rsid w:val="00DA5464"/>
    <w:rsid w:val="00E45613"/>
    <w:rsid w:val="00EB24BB"/>
    <w:rsid w:val="00EF6072"/>
    <w:rsid w:val="00F269FF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24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Trieu</dc:creator>
  <cp:lastModifiedBy>Kathy Trieu</cp:lastModifiedBy>
  <cp:revision>4</cp:revision>
  <dcterms:created xsi:type="dcterms:W3CDTF">2015-02-22T23:17:00Z</dcterms:created>
  <dcterms:modified xsi:type="dcterms:W3CDTF">2015-02-24T06:43:00Z</dcterms:modified>
</cp:coreProperties>
</file>