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2D" w:rsidRDefault="00656B2D" w:rsidP="00635D51">
      <w:pPr>
        <w:rPr>
          <w:rFonts w:ascii="Arial" w:hAnsi="Arial"/>
          <w:b/>
        </w:rPr>
      </w:pPr>
      <w:proofErr w:type="gramStart"/>
      <w:r>
        <w:rPr>
          <w:rFonts w:ascii="Arial" w:hAnsi="Arial"/>
          <w:b/>
        </w:rPr>
        <w:t>S</w:t>
      </w:r>
      <w:r w:rsidRPr="00447F06">
        <w:rPr>
          <w:rFonts w:ascii="Arial" w:hAnsi="Arial"/>
          <w:b/>
        </w:rPr>
        <w:t>3</w:t>
      </w:r>
      <w:r>
        <w:rPr>
          <w:rFonts w:ascii="Arial" w:hAnsi="Arial"/>
          <w:b/>
        </w:rPr>
        <w:t xml:space="preserve"> </w:t>
      </w:r>
      <w:r w:rsidRPr="00447F06">
        <w:rPr>
          <w:rFonts w:ascii="Arial" w:hAnsi="Arial"/>
          <w:b/>
        </w:rPr>
        <w:t>Table</w:t>
      </w:r>
      <w:r>
        <w:rPr>
          <w:rFonts w:ascii="Arial" w:hAnsi="Arial"/>
          <w:b/>
        </w:rPr>
        <w:t>.</w:t>
      </w:r>
      <w:proofErr w:type="gramEnd"/>
      <w:r w:rsidRPr="00447F06">
        <w:rPr>
          <w:rFonts w:ascii="Arial" w:hAnsi="Arial"/>
          <w:b/>
        </w:rPr>
        <w:t xml:space="preserve"> </w:t>
      </w:r>
      <w:r>
        <w:rPr>
          <w:rFonts w:ascii="Arial" w:hAnsi="Arial"/>
          <w:b/>
        </w:rPr>
        <w:t>Change in OTU relative abundance over time</w:t>
      </w:r>
    </w:p>
    <w:tbl>
      <w:tblPr>
        <w:tblStyle w:val="TableGrid"/>
        <w:tblpPr w:leftFromText="180" w:rightFromText="180" w:vertAnchor="page" w:horzAnchor="margin" w:tblpY="1761"/>
        <w:tblW w:w="9867" w:type="dxa"/>
        <w:tblLayout w:type="fixed"/>
        <w:tblCellMar>
          <w:left w:w="115" w:type="dxa"/>
          <w:right w:w="115" w:type="dxa"/>
        </w:tblCellMar>
        <w:tblLook w:val="04A0" w:firstRow="1" w:lastRow="0" w:firstColumn="1" w:lastColumn="0" w:noHBand="0" w:noVBand="1"/>
      </w:tblPr>
      <w:tblGrid>
        <w:gridCol w:w="558"/>
        <w:gridCol w:w="3060"/>
        <w:gridCol w:w="1628"/>
        <w:gridCol w:w="1792"/>
        <w:gridCol w:w="1890"/>
        <w:gridCol w:w="939"/>
      </w:tblGrid>
      <w:tr w:rsidR="00C4077C" w:rsidTr="00C4077C">
        <w:tc>
          <w:tcPr>
            <w:tcW w:w="558" w:type="dxa"/>
            <w:tcBorders>
              <w:top w:val="single" w:sz="12" w:space="0" w:color="auto"/>
              <w:left w:val="single" w:sz="12" w:space="0" w:color="auto"/>
              <w:bottom w:val="single" w:sz="12" w:space="0" w:color="auto"/>
            </w:tcBorders>
            <w:vAlign w:val="center"/>
          </w:tcPr>
          <w:p w:rsidR="00C4077C" w:rsidRPr="00975C7B" w:rsidRDefault="00C4077C" w:rsidP="00C4077C">
            <w:pPr>
              <w:jc w:val="center"/>
              <w:rPr>
                <w:rFonts w:ascii="Arial" w:hAnsi="Arial"/>
                <w:b/>
                <w:sz w:val="16"/>
                <w:szCs w:val="16"/>
              </w:rPr>
            </w:pPr>
            <w:bookmarkStart w:id="0" w:name="_GoBack"/>
            <w:bookmarkEnd w:id="0"/>
            <w:r w:rsidRPr="00975C7B">
              <w:rPr>
                <w:rFonts w:ascii="Arial" w:hAnsi="Arial"/>
                <w:b/>
                <w:sz w:val="16"/>
                <w:szCs w:val="16"/>
              </w:rPr>
              <w:t>Site</w:t>
            </w:r>
          </w:p>
        </w:tc>
        <w:tc>
          <w:tcPr>
            <w:tcW w:w="3060" w:type="dxa"/>
            <w:tcBorders>
              <w:top w:val="single" w:sz="12" w:space="0" w:color="auto"/>
              <w:bottom w:val="single" w:sz="12" w:space="0" w:color="auto"/>
            </w:tcBorders>
            <w:vAlign w:val="center"/>
          </w:tcPr>
          <w:p w:rsidR="00C4077C" w:rsidRPr="00975C7B" w:rsidRDefault="00C4077C" w:rsidP="00C4077C">
            <w:pPr>
              <w:jc w:val="center"/>
              <w:rPr>
                <w:rFonts w:ascii="Arial" w:eastAsia="Times New Roman" w:hAnsi="Arial" w:cs="Times New Roman"/>
                <w:b/>
                <w:sz w:val="16"/>
                <w:szCs w:val="16"/>
              </w:rPr>
            </w:pPr>
            <w:r w:rsidRPr="00975C7B">
              <w:rPr>
                <w:rFonts w:ascii="Arial" w:eastAsia="Times New Roman" w:hAnsi="Arial" w:cs="Times New Roman"/>
                <w:b/>
                <w:sz w:val="16"/>
                <w:szCs w:val="16"/>
              </w:rPr>
              <w:t>Species</w:t>
            </w:r>
          </w:p>
        </w:tc>
        <w:tc>
          <w:tcPr>
            <w:tcW w:w="1628" w:type="dxa"/>
            <w:tcBorders>
              <w:top w:val="single" w:sz="12" w:space="0" w:color="auto"/>
              <w:bottom w:val="single" w:sz="12" w:space="0" w:color="auto"/>
            </w:tcBorders>
            <w:vAlign w:val="center"/>
          </w:tcPr>
          <w:p w:rsidR="00C4077C" w:rsidRPr="00975C7B" w:rsidRDefault="00C4077C" w:rsidP="00C4077C">
            <w:pPr>
              <w:jc w:val="center"/>
              <w:rPr>
                <w:rFonts w:ascii="Arial" w:eastAsia="Times New Roman" w:hAnsi="Arial" w:cs="Times New Roman"/>
                <w:b/>
                <w:sz w:val="16"/>
                <w:szCs w:val="16"/>
              </w:rPr>
            </w:pPr>
            <w:r w:rsidRPr="00975C7B">
              <w:rPr>
                <w:rFonts w:ascii="Arial" w:eastAsia="Times New Roman" w:hAnsi="Arial" w:cs="Times New Roman"/>
                <w:b/>
                <w:sz w:val="16"/>
                <w:szCs w:val="16"/>
              </w:rPr>
              <w:t>Participant</w:t>
            </w:r>
          </w:p>
        </w:tc>
        <w:tc>
          <w:tcPr>
            <w:tcW w:w="1792" w:type="dxa"/>
            <w:tcBorders>
              <w:top w:val="single" w:sz="12" w:space="0" w:color="auto"/>
              <w:bottom w:val="single" w:sz="12" w:space="0" w:color="auto"/>
            </w:tcBorders>
            <w:vAlign w:val="center"/>
          </w:tcPr>
          <w:p w:rsidR="00C4077C" w:rsidRPr="00975C7B" w:rsidRDefault="00C4077C" w:rsidP="00C4077C">
            <w:pPr>
              <w:jc w:val="center"/>
              <w:rPr>
                <w:rFonts w:ascii="Arial" w:eastAsia="Times New Roman" w:hAnsi="Arial" w:cs="Times New Roman"/>
                <w:b/>
                <w:sz w:val="16"/>
                <w:szCs w:val="16"/>
              </w:rPr>
            </w:pPr>
            <w:r w:rsidRPr="00975C7B">
              <w:rPr>
                <w:rFonts w:ascii="Arial" w:eastAsia="Times New Roman" w:hAnsi="Arial" w:cs="Times New Roman"/>
                <w:b/>
                <w:sz w:val="16"/>
                <w:szCs w:val="16"/>
              </w:rPr>
              <w:t>Relative abundance at 1</w:t>
            </w:r>
            <w:r w:rsidRPr="00975C7B">
              <w:rPr>
                <w:rFonts w:ascii="Arial" w:eastAsia="Times New Roman" w:hAnsi="Arial" w:cs="Times New Roman"/>
                <w:b/>
                <w:sz w:val="16"/>
                <w:szCs w:val="16"/>
                <w:vertAlign w:val="superscript"/>
              </w:rPr>
              <w:t>st</w:t>
            </w:r>
            <w:r w:rsidRPr="00975C7B">
              <w:rPr>
                <w:rFonts w:ascii="Arial" w:eastAsia="Times New Roman" w:hAnsi="Arial" w:cs="Times New Roman"/>
                <w:b/>
                <w:sz w:val="16"/>
                <w:szCs w:val="16"/>
              </w:rPr>
              <w:t xml:space="preserve"> time point (t</w:t>
            </w:r>
            <w:r w:rsidRPr="00975C7B">
              <w:rPr>
                <w:rFonts w:ascii="Arial" w:eastAsia="Times New Roman" w:hAnsi="Arial" w:cs="Times New Roman"/>
                <w:b/>
                <w:sz w:val="16"/>
                <w:szCs w:val="16"/>
                <w:vertAlign w:val="subscript"/>
              </w:rPr>
              <w:t>1</w:t>
            </w:r>
            <w:r w:rsidRPr="00975C7B">
              <w:rPr>
                <w:rFonts w:ascii="Arial" w:eastAsia="Times New Roman" w:hAnsi="Arial" w:cs="Times New Roman"/>
                <w:b/>
                <w:sz w:val="16"/>
                <w:szCs w:val="16"/>
              </w:rPr>
              <w:t>)</w:t>
            </w:r>
            <w:r>
              <w:rPr>
                <w:rFonts w:ascii="Arial" w:eastAsia="Times New Roman" w:hAnsi="Arial" w:cs="Times New Roman"/>
                <w:b/>
                <w:sz w:val="16"/>
                <w:szCs w:val="16"/>
              </w:rPr>
              <w:t>*</w:t>
            </w:r>
          </w:p>
        </w:tc>
        <w:tc>
          <w:tcPr>
            <w:tcW w:w="1890" w:type="dxa"/>
            <w:tcBorders>
              <w:top w:val="single" w:sz="12" w:space="0" w:color="auto"/>
              <w:bottom w:val="single" w:sz="12" w:space="0" w:color="auto"/>
            </w:tcBorders>
            <w:vAlign w:val="center"/>
          </w:tcPr>
          <w:p w:rsidR="00C4077C" w:rsidRPr="00975C7B" w:rsidRDefault="00C4077C" w:rsidP="00C4077C">
            <w:pPr>
              <w:jc w:val="center"/>
              <w:rPr>
                <w:rFonts w:ascii="Arial" w:eastAsia="Times New Roman" w:hAnsi="Arial" w:cs="Times New Roman"/>
                <w:b/>
                <w:sz w:val="16"/>
                <w:szCs w:val="16"/>
              </w:rPr>
            </w:pPr>
            <w:r w:rsidRPr="00975C7B">
              <w:rPr>
                <w:rFonts w:ascii="Arial" w:eastAsia="Times New Roman" w:hAnsi="Arial" w:cs="Times New Roman"/>
                <w:b/>
                <w:sz w:val="16"/>
                <w:szCs w:val="16"/>
              </w:rPr>
              <w:t>Relative abundance at 2</w:t>
            </w:r>
            <w:r w:rsidRPr="00975C7B">
              <w:rPr>
                <w:rFonts w:ascii="Arial" w:eastAsia="Times New Roman" w:hAnsi="Arial" w:cs="Times New Roman"/>
                <w:b/>
                <w:sz w:val="16"/>
                <w:szCs w:val="16"/>
                <w:vertAlign w:val="superscript"/>
              </w:rPr>
              <w:t>nd</w:t>
            </w:r>
            <w:r w:rsidRPr="00975C7B">
              <w:rPr>
                <w:rFonts w:ascii="Arial" w:eastAsia="Times New Roman" w:hAnsi="Arial" w:cs="Times New Roman"/>
                <w:b/>
                <w:sz w:val="16"/>
                <w:szCs w:val="16"/>
              </w:rPr>
              <w:t xml:space="preserve"> time point (t</w:t>
            </w:r>
            <w:r w:rsidRPr="00975C7B">
              <w:rPr>
                <w:rFonts w:ascii="Arial" w:eastAsia="Times New Roman" w:hAnsi="Arial" w:cs="Times New Roman"/>
                <w:b/>
                <w:sz w:val="16"/>
                <w:szCs w:val="16"/>
                <w:vertAlign w:val="subscript"/>
              </w:rPr>
              <w:t>2</w:t>
            </w:r>
            <w:r w:rsidRPr="00975C7B">
              <w:rPr>
                <w:rFonts w:ascii="Arial" w:eastAsia="Times New Roman" w:hAnsi="Arial" w:cs="Times New Roman"/>
                <w:b/>
                <w:sz w:val="16"/>
                <w:szCs w:val="16"/>
              </w:rPr>
              <w:t>)</w:t>
            </w:r>
            <w:r>
              <w:rPr>
                <w:rFonts w:ascii="Arial" w:eastAsia="Times New Roman" w:hAnsi="Arial" w:cs="Times New Roman"/>
                <w:b/>
                <w:sz w:val="16"/>
                <w:szCs w:val="16"/>
              </w:rPr>
              <w:t>*</w:t>
            </w:r>
          </w:p>
        </w:tc>
        <w:tc>
          <w:tcPr>
            <w:tcW w:w="939" w:type="dxa"/>
            <w:tcBorders>
              <w:top w:val="single" w:sz="12" w:space="0" w:color="auto"/>
              <w:bottom w:val="single" w:sz="12" w:space="0" w:color="auto"/>
              <w:right w:val="single" w:sz="12" w:space="0" w:color="auto"/>
            </w:tcBorders>
            <w:vAlign w:val="center"/>
          </w:tcPr>
          <w:p w:rsidR="00C4077C" w:rsidRPr="00975C7B" w:rsidRDefault="00C4077C" w:rsidP="00C4077C">
            <w:pPr>
              <w:jc w:val="center"/>
              <w:rPr>
                <w:rFonts w:ascii="Arial" w:eastAsia="Times New Roman" w:hAnsi="Arial" w:cs="Times New Roman"/>
                <w:b/>
                <w:sz w:val="16"/>
                <w:szCs w:val="16"/>
              </w:rPr>
            </w:pPr>
            <w:r>
              <w:rPr>
                <w:rFonts w:ascii="Symbol" w:eastAsia="Times New Roman" w:hAnsi="Symbol" w:cs="Times New Roman"/>
                <w:b/>
                <w:sz w:val="16"/>
                <w:szCs w:val="16"/>
              </w:rPr>
              <w:t></w:t>
            </w:r>
            <w:r w:rsidRPr="00975C7B">
              <w:rPr>
                <w:rFonts w:ascii="Symbol" w:eastAsia="Times New Roman" w:hAnsi="Symbol" w:cs="Times New Roman"/>
                <w:b/>
                <w:sz w:val="16"/>
                <w:szCs w:val="16"/>
              </w:rPr>
              <w:t></w:t>
            </w:r>
            <w:r w:rsidRPr="00975C7B">
              <w:rPr>
                <w:rFonts w:ascii="Arial" w:eastAsia="Times New Roman" w:hAnsi="Arial" w:cs="Times New Roman"/>
                <w:b/>
                <w:sz w:val="16"/>
                <w:szCs w:val="16"/>
              </w:rPr>
              <w:t xml:space="preserve"> (t</w:t>
            </w:r>
            <w:r w:rsidRPr="00975C7B">
              <w:rPr>
                <w:rFonts w:ascii="Arial" w:eastAsia="Times New Roman" w:hAnsi="Arial" w:cs="Times New Roman"/>
                <w:b/>
                <w:sz w:val="16"/>
                <w:szCs w:val="16"/>
                <w:vertAlign w:val="subscript"/>
              </w:rPr>
              <w:t>2</w:t>
            </w:r>
            <w:r w:rsidRPr="00975C7B">
              <w:rPr>
                <w:rFonts w:ascii="Arial" w:eastAsia="Times New Roman" w:hAnsi="Arial" w:cs="Times New Roman"/>
                <w:b/>
                <w:sz w:val="16"/>
                <w:szCs w:val="16"/>
              </w:rPr>
              <w:t>-t</w:t>
            </w:r>
            <w:r w:rsidRPr="00975C7B">
              <w:rPr>
                <w:rFonts w:ascii="Arial" w:eastAsia="Times New Roman" w:hAnsi="Arial" w:cs="Times New Roman"/>
                <w:b/>
                <w:sz w:val="16"/>
                <w:szCs w:val="16"/>
                <w:vertAlign w:val="subscript"/>
              </w:rPr>
              <w:t>1</w:t>
            </w:r>
            <w:r w:rsidRPr="00975C7B">
              <w:rPr>
                <w:rFonts w:ascii="Arial" w:eastAsia="Times New Roman" w:hAnsi="Arial" w:cs="Times New Roman"/>
                <w:b/>
                <w:sz w:val="16"/>
                <w:szCs w:val="16"/>
              </w:rPr>
              <w:t>)</w:t>
            </w:r>
          </w:p>
        </w:tc>
      </w:tr>
      <w:tr w:rsidR="00C4077C" w:rsidTr="00C4077C">
        <w:tc>
          <w:tcPr>
            <w:tcW w:w="558" w:type="dxa"/>
            <w:vMerge w:val="restart"/>
            <w:tcBorders>
              <w:top w:val="single" w:sz="12" w:space="0" w:color="auto"/>
              <w:left w:val="single" w:sz="12" w:space="0" w:color="auto"/>
            </w:tcBorders>
            <w:textDirection w:val="btLr"/>
            <w:vAlign w:val="center"/>
          </w:tcPr>
          <w:p w:rsidR="00C4077C" w:rsidRPr="00430F3E" w:rsidRDefault="00C4077C" w:rsidP="00C4077C">
            <w:pPr>
              <w:ind w:right="113"/>
              <w:jc w:val="center"/>
              <w:rPr>
                <w:rFonts w:ascii="Arial" w:hAnsi="Arial"/>
                <w:sz w:val="16"/>
                <w:szCs w:val="16"/>
              </w:rPr>
            </w:pPr>
            <w:r>
              <w:rPr>
                <w:rFonts w:ascii="Arial" w:hAnsi="Arial"/>
                <w:sz w:val="16"/>
                <w:szCs w:val="16"/>
              </w:rPr>
              <w:t>S</w:t>
            </w:r>
            <w:r>
              <w:rPr>
                <w:rFonts w:ascii="Arial" w:hAnsi="Arial"/>
                <w:b/>
                <w:sz w:val="16"/>
                <w:szCs w:val="16"/>
              </w:rPr>
              <w:t>tomach antrum</w:t>
            </w:r>
          </w:p>
        </w:tc>
        <w:tc>
          <w:tcPr>
            <w:tcW w:w="3060" w:type="dxa"/>
            <w:tcBorders>
              <w:top w:val="single" w:sz="12" w:space="0" w:color="auto"/>
            </w:tcBorders>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salivarius</w:t>
            </w:r>
            <w:proofErr w:type="spellEnd"/>
          </w:p>
        </w:tc>
        <w:tc>
          <w:tcPr>
            <w:tcW w:w="1628"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38.9</w:t>
            </w:r>
          </w:p>
        </w:tc>
        <w:tc>
          <w:tcPr>
            <w:tcW w:w="1890"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0.9</w:t>
            </w:r>
          </w:p>
        </w:tc>
        <w:tc>
          <w:tcPr>
            <w:tcW w:w="939" w:type="dxa"/>
            <w:tcBorders>
              <w:top w:val="single" w:sz="12" w:space="0" w:color="auto"/>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-38.0</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Streptococcus</w:t>
            </w:r>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15</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1.6</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-13.4</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parasanguinis</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7.1</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0.8</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-6.2</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Klebsiella</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singaporensis</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2.2</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11</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+8.8</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Klebsiella</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1.3</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10.8</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+9.5</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Escherichia coli</w:t>
            </w:r>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2.7</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13.7</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+11.0</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Klebsiella</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pneumoniae</w:t>
            </w:r>
            <w:proofErr w:type="spellEnd"/>
            <w:r>
              <w:rPr>
                <w:rFonts w:ascii="Arial" w:eastAsia="Times New Roman" w:hAnsi="Arial" w:cs="Arial"/>
                <w:i/>
                <w:iCs/>
                <w:color w:val="000000"/>
                <w:sz w:val="16"/>
                <w:szCs w:val="16"/>
              </w:rPr>
              <w:t>/</w:t>
            </w:r>
            <w:proofErr w:type="spellStart"/>
            <w:r>
              <w:rPr>
                <w:rFonts w:ascii="Arial" w:eastAsia="Times New Roman" w:hAnsi="Arial" w:cs="Arial"/>
                <w:i/>
                <w:iCs/>
                <w:color w:val="000000"/>
                <w:sz w:val="16"/>
                <w:szCs w:val="16"/>
              </w:rPr>
              <w:t>variicola</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3.5</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18.5</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+14.9</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Rothia</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mucilaginosa</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14.1</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2.7</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-11.5</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Prevotellaceae</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9.6</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1.7</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-7.9</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Veillonella</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dispar</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7.1</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0.3</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-6.8</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tcBorders>
              <w:bottom w:val="nil"/>
            </w:tcBorders>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Prevotella</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melaninogenica</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5.5</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0.1</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-5.4</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Haemophilus </w:t>
            </w:r>
            <w:proofErr w:type="spellStart"/>
            <w:r>
              <w:rPr>
                <w:rFonts w:ascii="Arial" w:eastAsia="Times New Roman" w:hAnsi="Arial" w:cs="Arial"/>
                <w:i/>
                <w:iCs/>
                <w:color w:val="000000"/>
                <w:sz w:val="16"/>
                <w:szCs w:val="16"/>
              </w:rPr>
              <w:t>parainfluenzae</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0.8</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6.3</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+5.5</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mitis</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3.4</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16.9</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+13.5</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mitis</w:t>
            </w:r>
            <w:proofErr w:type="spellEnd"/>
            <w:r>
              <w:rPr>
                <w:rFonts w:ascii="Arial" w:eastAsia="Times New Roman" w:hAnsi="Arial" w:cs="Arial"/>
                <w:i/>
                <w:iCs/>
                <w:color w:val="000000"/>
                <w:sz w:val="16"/>
                <w:szCs w:val="16"/>
              </w:rPr>
              <w:t>/</w:t>
            </w:r>
            <w:proofErr w:type="spellStart"/>
            <w:r>
              <w:rPr>
                <w:rFonts w:ascii="Arial" w:eastAsia="Times New Roman" w:hAnsi="Arial" w:cs="Arial"/>
                <w:i/>
                <w:iCs/>
                <w:color w:val="000000"/>
                <w:sz w:val="16"/>
                <w:szCs w:val="16"/>
              </w:rPr>
              <w:t>oralis</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6.8</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49.6</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+42.8</w:t>
            </w:r>
          </w:p>
        </w:tc>
      </w:tr>
      <w:tr w:rsidR="00C4077C" w:rsidTr="00C4077C">
        <w:tc>
          <w:tcPr>
            <w:tcW w:w="558" w:type="dxa"/>
            <w:vMerge/>
            <w:tcBorders>
              <w:left w:val="single" w:sz="12" w:space="0" w:color="auto"/>
              <w:bottom w:val="single" w:sz="12" w:space="0" w:color="auto"/>
            </w:tcBorders>
          </w:tcPr>
          <w:p w:rsidR="00C4077C" w:rsidRPr="00430F3E" w:rsidRDefault="00C4077C" w:rsidP="00C4077C">
            <w:pPr>
              <w:rPr>
                <w:sz w:val="16"/>
                <w:szCs w:val="16"/>
              </w:rPr>
            </w:pPr>
          </w:p>
        </w:tc>
        <w:tc>
          <w:tcPr>
            <w:tcW w:w="3060" w:type="dxa"/>
            <w:tcBorders>
              <w:bottom w:val="single" w:sz="12" w:space="0" w:color="auto"/>
            </w:tcBorders>
            <w:shd w:val="clear" w:color="auto" w:fill="BFBFBF" w:themeFill="background1" w:themeFillShade="BF"/>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Haemophilus</w:t>
            </w:r>
          </w:p>
        </w:tc>
        <w:tc>
          <w:tcPr>
            <w:tcW w:w="1628"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P7</w:t>
            </w:r>
          </w:p>
        </w:tc>
        <w:tc>
          <w:tcPr>
            <w:tcW w:w="1792"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4.3</w:t>
            </w:r>
          </w:p>
        </w:tc>
        <w:tc>
          <w:tcPr>
            <w:tcW w:w="1890"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9.3</w:t>
            </w:r>
          </w:p>
        </w:tc>
        <w:tc>
          <w:tcPr>
            <w:tcW w:w="939" w:type="dxa"/>
            <w:tcBorders>
              <w:bottom w:val="single" w:sz="12" w:space="0" w:color="auto"/>
              <w:right w:val="single" w:sz="12" w:space="0" w:color="auto"/>
            </w:tcBorders>
            <w:shd w:val="clear" w:color="auto" w:fill="BFBFBF" w:themeFill="background1" w:themeFillShade="BF"/>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+5.0</w:t>
            </w:r>
          </w:p>
        </w:tc>
      </w:tr>
      <w:tr w:rsidR="00C4077C" w:rsidTr="00C4077C">
        <w:tc>
          <w:tcPr>
            <w:tcW w:w="558" w:type="dxa"/>
            <w:vMerge w:val="restart"/>
            <w:tcBorders>
              <w:top w:val="single" w:sz="12" w:space="0" w:color="auto"/>
              <w:left w:val="single" w:sz="12" w:space="0" w:color="auto"/>
            </w:tcBorders>
            <w:textDirection w:val="btLr"/>
            <w:vAlign w:val="center"/>
          </w:tcPr>
          <w:p w:rsidR="00C4077C" w:rsidRPr="00975C7B" w:rsidRDefault="00C4077C" w:rsidP="00C4077C">
            <w:pPr>
              <w:ind w:left="113" w:right="113"/>
              <w:jc w:val="center"/>
              <w:rPr>
                <w:b/>
                <w:sz w:val="16"/>
                <w:szCs w:val="16"/>
              </w:rPr>
            </w:pPr>
            <w:r w:rsidRPr="00975C7B">
              <w:rPr>
                <w:rFonts w:ascii="Arial" w:hAnsi="Arial"/>
                <w:b/>
                <w:sz w:val="16"/>
                <w:szCs w:val="16"/>
              </w:rPr>
              <w:t>Stomach corpus</w:t>
            </w:r>
          </w:p>
        </w:tc>
        <w:tc>
          <w:tcPr>
            <w:tcW w:w="3060" w:type="dxa"/>
            <w:tcBorders>
              <w:top w:val="single" w:sz="12" w:space="0" w:color="auto"/>
            </w:tcBorders>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Actinomyces</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odontolyticus</w:t>
            </w:r>
            <w:proofErr w:type="spellEnd"/>
          </w:p>
        </w:tc>
        <w:tc>
          <w:tcPr>
            <w:tcW w:w="1628"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7.1</w:t>
            </w:r>
          </w:p>
        </w:tc>
        <w:tc>
          <w:tcPr>
            <w:tcW w:w="1890"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0.1</w:t>
            </w:r>
          </w:p>
        </w:tc>
        <w:tc>
          <w:tcPr>
            <w:tcW w:w="939" w:type="dxa"/>
            <w:tcBorders>
              <w:top w:val="single" w:sz="12" w:space="0" w:color="auto"/>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-7.0</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Bifidobacterium</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7.8</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0.1</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-7.7</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Streptococcus</w:t>
            </w:r>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7.8</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0.6</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-7.2</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Escherichia coli</w:t>
            </w:r>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5.6</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+5.6</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Klebsiella</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variicola</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7</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+7.0</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Klebsiella</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3.5</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14.5</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+10.9</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Klebsiella</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pneumoniae</w:t>
            </w:r>
            <w:proofErr w:type="spellEnd"/>
            <w:r>
              <w:rPr>
                <w:rFonts w:ascii="Arial" w:eastAsia="Times New Roman" w:hAnsi="Arial" w:cs="Arial"/>
                <w:i/>
                <w:iCs/>
                <w:color w:val="000000"/>
                <w:sz w:val="16"/>
                <w:szCs w:val="16"/>
              </w:rPr>
              <w:t>/</w:t>
            </w:r>
            <w:proofErr w:type="spellStart"/>
            <w:r>
              <w:rPr>
                <w:rFonts w:ascii="Arial" w:eastAsia="Times New Roman" w:hAnsi="Arial" w:cs="Arial"/>
                <w:i/>
                <w:iCs/>
                <w:color w:val="000000"/>
                <w:sz w:val="16"/>
                <w:szCs w:val="16"/>
              </w:rPr>
              <w:t>variicola</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1.4</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28.3</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+26.9</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Lactobacillus </w:t>
            </w:r>
            <w:proofErr w:type="spellStart"/>
            <w:r>
              <w:rPr>
                <w:rFonts w:ascii="Arial" w:eastAsia="Times New Roman" w:hAnsi="Arial" w:cs="Arial"/>
                <w:i/>
                <w:iCs/>
                <w:color w:val="000000"/>
                <w:sz w:val="16"/>
                <w:szCs w:val="16"/>
              </w:rPr>
              <w:t>reuteri</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23.8</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-23.8</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Paralactobacillus</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13.9</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-13.9</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mitis</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2.3</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23</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+20.7</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mitis</w:t>
            </w:r>
            <w:proofErr w:type="spellEnd"/>
            <w:r>
              <w:rPr>
                <w:rFonts w:ascii="Arial" w:eastAsia="Times New Roman" w:hAnsi="Arial" w:cs="Arial"/>
                <w:i/>
                <w:iCs/>
                <w:color w:val="000000"/>
                <w:sz w:val="16"/>
                <w:szCs w:val="16"/>
              </w:rPr>
              <w:t>/</w:t>
            </w:r>
            <w:proofErr w:type="spellStart"/>
            <w:r>
              <w:rPr>
                <w:rFonts w:ascii="Arial" w:eastAsia="Times New Roman" w:hAnsi="Arial" w:cs="Arial"/>
                <w:i/>
                <w:iCs/>
                <w:color w:val="000000"/>
                <w:sz w:val="16"/>
                <w:szCs w:val="16"/>
              </w:rPr>
              <w:t>oralis</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5</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50.2</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+45.1</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BFBFBF" w:themeFill="background1" w:themeFillShade="BF"/>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Rothia</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mucilaginosa</w:t>
            </w:r>
            <w:proofErr w:type="spellEnd"/>
          </w:p>
        </w:tc>
        <w:tc>
          <w:tcPr>
            <w:tcW w:w="1628"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P7</w:t>
            </w:r>
          </w:p>
        </w:tc>
        <w:tc>
          <w:tcPr>
            <w:tcW w:w="1792"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20.3</w:t>
            </w:r>
          </w:p>
        </w:tc>
        <w:tc>
          <w:tcPr>
            <w:tcW w:w="1890"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w:t>
            </w:r>
          </w:p>
        </w:tc>
        <w:tc>
          <w:tcPr>
            <w:tcW w:w="939" w:type="dxa"/>
            <w:tcBorders>
              <w:right w:val="single" w:sz="12" w:space="0" w:color="auto"/>
            </w:tcBorders>
            <w:shd w:val="clear" w:color="auto" w:fill="BFBFBF" w:themeFill="background1" w:themeFillShade="BF"/>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-19.3</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BFBFBF" w:themeFill="background1" w:themeFillShade="BF"/>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Prevotellaceae</w:t>
            </w:r>
            <w:proofErr w:type="spellEnd"/>
          </w:p>
        </w:tc>
        <w:tc>
          <w:tcPr>
            <w:tcW w:w="1628"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P7</w:t>
            </w:r>
          </w:p>
        </w:tc>
        <w:tc>
          <w:tcPr>
            <w:tcW w:w="1792"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3.6</w:t>
            </w:r>
          </w:p>
        </w:tc>
        <w:tc>
          <w:tcPr>
            <w:tcW w:w="1890"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9.7</w:t>
            </w:r>
          </w:p>
        </w:tc>
        <w:tc>
          <w:tcPr>
            <w:tcW w:w="939" w:type="dxa"/>
            <w:tcBorders>
              <w:right w:val="single" w:sz="12" w:space="0" w:color="auto"/>
            </w:tcBorders>
            <w:shd w:val="clear" w:color="auto" w:fill="BFBFBF" w:themeFill="background1" w:themeFillShade="BF"/>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+6.1</w:t>
            </w:r>
          </w:p>
        </w:tc>
      </w:tr>
      <w:tr w:rsidR="00C4077C" w:rsidTr="00C4077C">
        <w:tc>
          <w:tcPr>
            <w:tcW w:w="558" w:type="dxa"/>
            <w:vMerge/>
            <w:tcBorders>
              <w:left w:val="single" w:sz="12" w:space="0" w:color="auto"/>
              <w:bottom w:val="single" w:sz="12" w:space="0" w:color="auto"/>
            </w:tcBorders>
          </w:tcPr>
          <w:p w:rsidR="00C4077C" w:rsidRPr="00430F3E" w:rsidRDefault="00C4077C" w:rsidP="00C4077C">
            <w:pPr>
              <w:rPr>
                <w:sz w:val="16"/>
                <w:szCs w:val="16"/>
              </w:rPr>
            </w:pPr>
          </w:p>
        </w:tc>
        <w:tc>
          <w:tcPr>
            <w:tcW w:w="3060" w:type="dxa"/>
            <w:tcBorders>
              <w:bottom w:val="single" w:sz="12" w:space="0" w:color="auto"/>
            </w:tcBorders>
            <w:shd w:val="clear" w:color="auto" w:fill="BFBFBF" w:themeFill="background1" w:themeFillShade="BF"/>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mitis</w:t>
            </w:r>
            <w:proofErr w:type="spellEnd"/>
            <w:r>
              <w:rPr>
                <w:rFonts w:ascii="Arial" w:eastAsia="Times New Roman" w:hAnsi="Arial" w:cs="Arial"/>
                <w:i/>
                <w:iCs/>
                <w:color w:val="000000"/>
                <w:sz w:val="16"/>
                <w:szCs w:val="16"/>
              </w:rPr>
              <w:t>/</w:t>
            </w:r>
            <w:proofErr w:type="spellStart"/>
            <w:r>
              <w:rPr>
                <w:rFonts w:ascii="Arial" w:eastAsia="Times New Roman" w:hAnsi="Arial" w:cs="Arial"/>
                <w:i/>
                <w:iCs/>
                <w:color w:val="000000"/>
                <w:sz w:val="16"/>
                <w:szCs w:val="16"/>
              </w:rPr>
              <w:t>oralis</w:t>
            </w:r>
            <w:proofErr w:type="spellEnd"/>
          </w:p>
        </w:tc>
        <w:tc>
          <w:tcPr>
            <w:tcW w:w="1628"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P7</w:t>
            </w:r>
          </w:p>
        </w:tc>
        <w:tc>
          <w:tcPr>
            <w:tcW w:w="1792"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6.4</w:t>
            </w:r>
          </w:p>
        </w:tc>
        <w:tc>
          <w:tcPr>
            <w:tcW w:w="1890"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19.7</w:t>
            </w:r>
          </w:p>
        </w:tc>
        <w:tc>
          <w:tcPr>
            <w:tcW w:w="939" w:type="dxa"/>
            <w:tcBorders>
              <w:bottom w:val="single" w:sz="12" w:space="0" w:color="auto"/>
              <w:right w:val="single" w:sz="12" w:space="0" w:color="auto"/>
            </w:tcBorders>
            <w:shd w:val="clear" w:color="auto" w:fill="BFBFBF" w:themeFill="background1" w:themeFillShade="BF"/>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+13.4</w:t>
            </w:r>
          </w:p>
        </w:tc>
      </w:tr>
      <w:tr w:rsidR="00C4077C" w:rsidTr="00C4077C">
        <w:tc>
          <w:tcPr>
            <w:tcW w:w="558" w:type="dxa"/>
            <w:vMerge w:val="restart"/>
            <w:tcBorders>
              <w:top w:val="single" w:sz="12" w:space="0" w:color="auto"/>
              <w:left w:val="single" w:sz="12" w:space="0" w:color="auto"/>
            </w:tcBorders>
            <w:textDirection w:val="btLr"/>
            <w:vAlign w:val="center"/>
          </w:tcPr>
          <w:p w:rsidR="00C4077C" w:rsidRPr="00975C7B" w:rsidRDefault="00C4077C" w:rsidP="00C4077C">
            <w:pPr>
              <w:ind w:left="113" w:right="113"/>
              <w:jc w:val="center"/>
              <w:rPr>
                <w:b/>
                <w:sz w:val="16"/>
                <w:szCs w:val="16"/>
              </w:rPr>
            </w:pPr>
            <w:r w:rsidRPr="00975C7B">
              <w:rPr>
                <w:rFonts w:ascii="Arial" w:hAnsi="Arial"/>
                <w:b/>
                <w:sz w:val="16"/>
                <w:szCs w:val="16"/>
              </w:rPr>
              <w:t>Barrett’s esophagus</w:t>
            </w:r>
          </w:p>
        </w:tc>
        <w:tc>
          <w:tcPr>
            <w:tcW w:w="3060" w:type="dxa"/>
            <w:tcBorders>
              <w:top w:val="single" w:sz="12" w:space="0" w:color="auto"/>
            </w:tcBorders>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salivarius</w:t>
            </w:r>
            <w:proofErr w:type="spellEnd"/>
          </w:p>
        </w:tc>
        <w:tc>
          <w:tcPr>
            <w:tcW w:w="1628"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38</w:t>
            </w:r>
          </w:p>
        </w:tc>
        <w:tc>
          <w:tcPr>
            <w:tcW w:w="1890"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0.4</w:t>
            </w:r>
          </w:p>
        </w:tc>
        <w:tc>
          <w:tcPr>
            <w:tcW w:w="939" w:type="dxa"/>
            <w:tcBorders>
              <w:top w:val="single" w:sz="12" w:space="0" w:color="auto"/>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-37.6</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Streptococcus</w:t>
            </w:r>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10.9</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0.3</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-10.6</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parasanguinis</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5.7</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0.2</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-5.6</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Klebsiella</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variicola</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0.1</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8.4</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+8.3</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Escherichia coli</w:t>
            </w:r>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0.1</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10.7</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+10.6</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Klebsiella</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1.1</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14.2</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+13.1</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Klebsiella</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pneumoniae</w:t>
            </w:r>
            <w:proofErr w:type="spellEnd"/>
            <w:r>
              <w:rPr>
                <w:rFonts w:ascii="Arial" w:eastAsia="Times New Roman" w:hAnsi="Arial" w:cs="Arial"/>
                <w:i/>
                <w:iCs/>
                <w:color w:val="000000"/>
                <w:sz w:val="16"/>
                <w:szCs w:val="16"/>
              </w:rPr>
              <w:t>/</w:t>
            </w:r>
            <w:proofErr w:type="spellStart"/>
            <w:r>
              <w:rPr>
                <w:rFonts w:ascii="Arial" w:eastAsia="Times New Roman" w:hAnsi="Arial" w:cs="Arial"/>
                <w:i/>
                <w:iCs/>
                <w:color w:val="000000"/>
                <w:sz w:val="16"/>
                <w:szCs w:val="16"/>
              </w:rPr>
              <w:t>variicola</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7.4</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37.1</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+29.7</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Neisseria </w:t>
            </w:r>
            <w:proofErr w:type="spellStart"/>
            <w:r>
              <w:rPr>
                <w:rFonts w:ascii="Arial" w:eastAsia="Times New Roman" w:hAnsi="Arial" w:cs="Arial"/>
                <w:i/>
                <w:iCs/>
                <w:color w:val="000000"/>
                <w:sz w:val="16"/>
                <w:szCs w:val="16"/>
              </w:rPr>
              <w:t>flavescens</w:t>
            </w:r>
            <w:proofErr w:type="spellEnd"/>
            <w:r>
              <w:rPr>
                <w:rFonts w:ascii="Arial" w:eastAsia="Times New Roman" w:hAnsi="Arial" w:cs="Arial"/>
                <w:i/>
                <w:iCs/>
                <w:color w:val="000000"/>
                <w:sz w:val="16"/>
                <w:szCs w:val="16"/>
              </w:rPr>
              <w:t>/</w:t>
            </w:r>
            <w:proofErr w:type="spellStart"/>
            <w:r>
              <w:rPr>
                <w:rFonts w:ascii="Arial" w:eastAsia="Times New Roman" w:hAnsi="Arial" w:cs="Arial"/>
                <w:i/>
                <w:iCs/>
                <w:color w:val="000000"/>
                <w:sz w:val="16"/>
                <w:szCs w:val="16"/>
              </w:rPr>
              <w:t>subflava</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5.5</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+5.5</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Pasteurellaceae</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0.5</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5.9</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+5.4</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Prevotellaceae</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1.4</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9.1</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+7.7</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BFBFBF" w:themeFill="background1" w:themeFillShade="BF"/>
            <w:vAlign w:val="center"/>
          </w:tcPr>
          <w:p w:rsidR="00C4077C" w:rsidRPr="00430F3E" w:rsidRDefault="00C4077C" w:rsidP="00C4077C">
            <w:pPr>
              <w:rPr>
                <w:rFonts w:ascii="Arial" w:eastAsia="Times New Roman" w:hAnsi="Arial" w:cs="Times New Roman"/>
                <w:bCs/>
                <w:i/>
                <w:iCs/>
                <w:sz w:val="16"/>
                <w:szCs w:val="16"/>
              </w:rPr>
            </w:pPr>
            <w:proofErr w:type="spellStart"/>
            <w:r>
              <w:rPr>
                <w:rFonts w:ascii="Arial" w:eastAsia="Times New Roman" w:hAnsi="Arial" w:cs="Arial"/>
                <w:i/>
                <w:iCs/>
                <w:color w:val="000000"/>
                <w:sz w:val="16"/>
                <w:szCs w:val="16"/>
              </w:rPr>
              <w:t>Prevotella</w:t>
            </w:r>
            <w:proofErr w:type="spellEnd"/>
          </w:p>
        </w:tc>
        <w:tc>
          <w:tcPr>
            <w:tcW w:w="1628"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P7</w:t>
            </w:r>
          </w:p>
        </w:tc>
        <w:tc>
          <w:tcPr>
            <w:tcW w:w="1792"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10.1</w:t>
            </w:r>
          </w:p>
        </w:tc>
        <w:tc>
          <w:tcPr>
            <w:tcW w:w="1890"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3.8</w:t>
            </w:r>
          </w:p>
        </w:tc>
        <w:tc>
          <w:tcPr>
            <w:tcW w:w="939" w:type="dxa"/>
            <w:tcBorders>
              <w:right w:val="single" w:sz="12" w:space="0" w:color="auto"/>
            </w:tcBorders>
            <w:shd w:val="clear" w:color="auto" w:fill="BFBFBF" w:themeFill="background1" w:themeFillShade="BF"/>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-6.2</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BFBFBF" w:themeFill="background1" w:themeFillShade="BF"/>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mitis</w:t>
            </w:r>
            <w:proofErr w:type="spellEnd"/>
            <w:r>
              <w:rPr>
                <w:rFonts w:ascii="Arial" w:eastAsia="Times New Roman" w:hAnsi="Arial" w:cs="Arial"/>
                <w:i/>
                <w:iCs/>
                <w:color w:val="000000"/>
                <w:sz w:val="16"/>
                <w:szCs w:val="16"/>
              </w:rPr>
              <w:t>/</w:t>
            </w:r>
            <w:proofErr w:type="spellStart"/>
            <w:r>
              <w:rPr>
                <w:rFonts w:ascii="Arial" w:eastAsia="Times New Roman" w:hAnsi="Arial" w:cs="Arial"/>
                <w:i/>
                <w:iCs/>
                <w:color w:val="000000"/>
                <w:sz w:val="16"/>
                <w:szCs w:val="16"/>
              </w:rPr>
              <w:t>oralis</w:t>
            </w:r>
            <w:proofErr w:type="spellEnd"/>
          </w:p>
        </w:tc>
        <w:tc>
          <w:tcPr>
            <w:tcW w:w="1628"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P7</w:t>
            </w:r>
          </w:p>
        </w:tc>
        <w:tc>
          <w:tcPr>
            <w:tcW w:w="1792"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8.6</w:t>
            </w:r>
          </w:p>
        </w:tc>
        <w:tc>
          <w:tcPr>
            <w:tcW w:w="1890"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13.7</w:t>
            </w:r>
          </w:p>
        </w:tc>
        <w:tc>
          <w:tcPr>
            <w:tcW w:w="939" w:type="dxa"/>
            <w:tcBorders>
              <w:right w:val="single" w:sz="12" w:space="0" w:color="auto"/>
            </w:tcBorders>
            <w:shd w:val="clear" w:color="auto" w:fill="BFBFBF" w:themeFill="background1" w:themeFillShade="BF"/>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+5.1</w:t>
            </w:r>
          </w:p>
        </w:tc>
      </w:tr>
      <w:tr w:rsidR="00C4077C" w:rsidTr="00C4077C">
        <w:tc>
          <w:tcPr>
            <w:tcW w:w="558" w:type="dxa"/>
            <w:vMerge/>
            <w:tcBorders>
              <w:left w:val="single" w:sz="12" w:space="0" w:color="auto"/>
              <w:bottom w:val="single" w:sz="12" w:space="0" w:color="auto"/>
            </w:tcBorders>
          </w:tcPr>
          <w:p w:rsidR="00C4077C" w:rsidRPr="00430F3E" w:rsidRDefault="00C4077C" w:rsidP="00C4077C">
            <w:pPr>
              <w:rPr>
                <w:sz w:val="16"/>
                <w:szCs w:val="16"/>
              </w:rPr>
            </w:pPr>
          </w:p>
        </w:tc>
        <w:tc>
          <w:tcPr>
            <w:tcW w:w="3060" w:type="dxa"/>
            <w:tcBorders>
              <w:bottom w:val="single" w:sz="12" w:space="0" w:color="auto"/>
            </w:tcBorders>
            <w:shd w:val="clear" w:color="auto" w:fill="BFBFBF" w:themeFill="background1" w:themeFillShade="BF"/>
            <w:vAlign w:val="center"/>
          </w:tcPr>
          <w:p w:rsidR="00C4077C" w:rsidRPr="00430F3E" w:rsidRDefault="00C4077C" w:rsidP="00C4077C">
            <w:pPr>
              <w:rPr>
                <w:rFonts w:ascii="Arial" w:eastAsia="Times New Roman" w:hAnsi="Arial" w:cs="Times New Roman"/>
                <w:bCs/>
                <w:i/>
                <w:iCs/>
                <w:sz w:val="16"/>
                <w:szCs w:val="16"/>
              </w:rPr>
            </w:pPr>
            <w:r>
              <w:rPr>
                <w:rFonts w:ascii="Arial" w:eastAsia="Times New Roman" w:hAnsi="Arial" w:cs="Arial"/>
                <w:i/>
                <w:iCs/>
                <w:color w:val="000000"/>
                <w:sz w:val="16"/>
                <w:szCs w:val="16"/>
              </w:rPr>
              <w:t>Haemophilus</w:t>
            </w:r>
          </w:p>
        </w:tc>
        <w:tc>
          <w:tcPr>
            <w:tcW w:w="1628"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P7</w:t>
            </w:r>
          </w:p>
        </w:tc>
        <w:tc>
          <w:tcPr>
            <w:tcW w:w="1792"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5.4</w:t>
            </w:r>
          </w:p>
        </w:tc>
        <w:tc>
          <w:tcPr>
            <w:tcW w:w="1890"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13.5</w:t>
            </w:r>
          </w:p>
        </w:tc>
        <w:tc>
          <w:tcPr>
            <w:tcW w:w="939" w:type="dxa"/>
            <w:tcBorders>
              <w:bottom w:val="single" w:sz="12" w:space="0" w:color="auto"/>
              <w:right w:val="single" w:sz="12" w:space="0" w:color="auto"/>
            </w:tcBorders>
            <w:shd w:val="clear" w:color="auto" w:fill="BFBFBF" w:themeFill="background1" w:themeFillShade="BF"/>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+8.1</w:t>
            </w:r>
          </w:p>
        </w:tc>
      </w:tr>
      <w:tr w:rsidR="00C4077C" w:rsidTr="00C4077C">
        <w:tc>
          <w:tcPr>
            <w:tcW w:w="558" w:type="dxa"/>
            <w:vMerge w:val="restart"/>
            <w:tcBorders>
              <w:top w:val="single" w:sz="12" w:space="0" w:color="auto"/>
              <w:left w:val="single" w:sz="12" w:space="0" w:color="auto"/>
            </w:tcBorders>
            <w:textDirection w:val="btLr"/>
            <w:vAlign w:val="center"/>
          </w:tcPr>
          <w:p w:rsidR="00C4077C" w:rsidRPr="00975C7B" w:rsidRDefault="00C4077C" w:rsidP="00C4077C">
            <w:pPr>
              <w:ind w:left="113" w:right="113"/>
              <w:jc w:val="center"/>
              <w:rPr>
                <w:b/>
                <w:sz w:val="16"/>
                <w:szCs w:val="16"/>
              </w:rPr>
            </w:pPr>
            <w:r w:rsidRPr="00975C7B">
              <w:rPr>
                <w:rFonts w:ascii="Arial" w:hAnsi="Arial"/>
                <w:b/>
                <w:sz w:val="16"/>
                <w:szCs w:val="16"/>
              </w:rPr>
              <w:t>Squamous esophagus</w:t>
            </w:r>
          </w:p>
        </w:tc>
        <w:tc>
          <w:tcPr>
            <w:tcW w:w="3060" w:type="dxa"/>
            <w:tcBorders>
              <w:top w:val="single" w:sz="12" w:space="0" w:color="auto"/>
            </w:tcBorders>
            <w:shd w:val="clear" w:color="auto" w:fill="F2F2F2" w:themeFill="background1" w:themeFillShade="F2"/>
            <w:vAlign w:val="center"/>
          </w:tcPr>
          <w:p w:rsidR="00C4077C" w:rsidRPr="00430F3E" w:rsidRDefault="00C4077C" w:rsidP="00C4077C">
            <w:pPr>
              <w:rPr>
                <w:rFonts w:ascii="Arial" w:eastAsia="Times New Roman" w:hAnsi="Arial" w:cs="Times New Roman"/>
                <w:bCs/>
                <w:i/>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salivarius</w:t>
            </w:r>
            <w:proofErr w:type="spellEnd"/>
          </w:p>
        </w:tc>
        <w:tc>
          <w:tcPr>
            <w:tcW w:w="1628"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43.8</w:t>
            </w:r>
          </w:p>
        </w:tc>
        <w:tc>
          <w:tcPr>
            <w:tcW w:w="1890" w:type="dxa"/>
            <w:tcBorders>
              <w:top w:val="single" w:sz="12" w:space="0" w:color="auto"/>
            </w:tcBorders>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1.4</w:t>
            </w:r>
          </w:p>
        </w:tc>
        <w:tc>
          <w:tcPr>
            <w:tcW w:w="939" w:type="dxa"/>
            <w:tcBorders>
              <w:top w:val="single" w:sz="12" w:space="0" w:color="auto"/>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-42.3</w:t>
            </w:r>
          </w:p>
        </w:tc>
      </w:tr>
      <w:tr w:rsidR="00C4077C" w:rsidTr="00C4077C">
        <w:tc>
          <w:tcPr>
            <w:tcW w:w="558" w:type="dxa"/>
            <w:vMerge/>
            <w:tcBorders>
              <w:left w:val="single" w:sz="12" w:space="0" w:color="auto"/>
            </w:tcBorders>
          </w:tcPr>
          <w:p w:rsidR="00C4077C" w:rsidRPr="00430F3E" w:rsidRDefault="00C4077C" w:rsidP="00C4077C">
            <w:pPr>
              <w:ind w:right="113"/>
              <w:jc w:val="cente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sz w:val="16"/>
                <w:szCs w:val="16"/>
              </w:rPr>
            </w:pPr>
            <w:r>
              <w:rPr>
                <w:rFonts w:ascii="Arial" w:eastAsia="Times New Roman" w:hAnsi="Arial" w:cs="Arial"/>
                <w:i/>
                <w:iCs/>
                <w:color w:val="000000"/>
                <w:sz w:val="16"/>
                <w:szCs w:val="16"/>
              </w:rPr>
              <w:t>Streptococcus</w:t>
            </w:r>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12.3</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0.5</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-11.8</w:t>
            </w:r>
          </w:p>
        </w:tc>
      </w:tr>
      <w:tr w:rsidR="00C4077C" w:rsidTr="00C4077C">
        <w:tc>
          <w:tcPr>
            <w:tcW w:w="558" w:type="dxa"/>
            <w:vMerge/>
            <w:tcBorders>
              <w:left w:val="single" w:sz="12" w:space="0" w:color="auto"/>
            </w:tcBorders>
          </w:tcPr>
          <w:p w:rsidR="00C4077C" w:rsidRPr="00430F3E" w:rsidRDefault="00C4077C" w:rsidP="00C4077C">
            <w:pPr>
              <w:ind w:right="113"/>
              <w:jc w:val="cente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mitis</w:t>
            </w:r>
            <w:proofErr w:type="spellEnd"/>
            <w:r>
              <w:rPr>
                <w:rFonts w:ascii="Arial" w:eastAsia="Times New Roman" w:hAnsi="Arial" w:cs="Arial"/>
                <w:i/>
                <w:iCs/>
                <w:color w:val="000000"/>
                <w:sz w:val="16"/>
                <w:szCs w:val="16"/>
              </w:rPr>
              <w:t>/</w:t>
            </w:r>
            <w:proofErr w:type="spellStart"/>
            <w:r>
              <w:rPr>
                <w:rFonts w:ascii="Arial" w:eastAsia="Times New Roman" w:hAnsi="Arial" w:cs="Arial"/>
                <w:i/>
                <w:iCs/>
                <w:color w:val="000000"/>
                <w:sz w:val="16"/>
                <w:szCs w:val="16"/>
              </w:rPr>
              <w:t>oralis</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8.7</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0.1</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-8.6</w:t>
            </w:r>
          </w:p>
        </w:tc>
      </w:tr>
      <w:tr w:rsidR="00C4077C" w:rsidTr="00C4077C">
        <w:tc>
          <w:tcPr>
            <w:tcW w:w="558" w:type="dxa"/>
            <w:vMerge/>
            <w:tcBorders>
              <w:left w:val="single" w:sz="12" w:space="0" w:color="auto"/>
            </w:tcBorders>
          </w:tcPr>
          <w:p w:rsidR="00C4077C" w:rsidRPr="00430F3E" w:rsidRDefault="00C4077C" w:rsidP="00C4077C">
            <w:pPr>
              <w:ind w:right="113"/>
              <w:jc w:val="center"/>
              <w:rPr>
                <w:sz w:val="16"/>
                <w:szCs w:val="16"/>
              </w:rPr>
            </w:pPr>
          </w:p>
        </w:tc>
        <w:tc>
          <w:tcPr>
            <w:tcW w:w="3060" w:type="dxa"/>
            <w:tcBorders>
              <w:bottom w:val="nil"/>
            </w:tcBorders>
            <w:shd w:val="clear" w:color="auto" w:fill="F2F2F2" w:themeFill="background1" w:themeFillShade="F2"/>
            <w:vAlign w:val="center"/>
          </w:tcPr>
          <w:p w:rsidR="00C4077C" w:rsidRPr="00430F3E" w:rsidRDefault="00C4077C" w:rsidP="00C4077C">
            <w:pPr>
              <w:rPr>
                <w:rFonts w:ascii="Arial" w:eastAsia="Times New Roman" w:hAnsi="Arial" w:cs="Times New Roman"/>
                <w:bCs/>
                <w:i/>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parasanguinis</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7.7</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0.2</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-7.5</w:t>
            </w:r>
          </w:p>
        </w:tc>
      </w:tr>
      <w:tr w:rsidR="00C4077C" w:rsidTr="00C4077C">
        <w:tc>
          <w:tcPr>
            <w:tcW w:w="558" w:type="dxa"/>
            <w:vMerge/>
            <w:tcBorders>
              <w:left w:val="single" w:sz="12" w:space="0" w:color="auto"/>
            </w:tcBorders>
          </w:tcPr>
          <w:p w:rsidR="00C4077C" w:rsidRPr="00430F3E" w:rsidRDefault="00C4077C" w:rsidP="00C4077C">
            <w:pPr>
              <w:ind w:right="113"/>
              <w:jc w:val="cente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sz w:val="16"/>
                <w:szCs w:val="16"/>
              </w:rPr>
            </w:pPr>
            <w:proofErr w:type="spellStart"/>
            <w:r>
              <w:rPr>
                <w:rFonts w:ascii="Arial" w:eastAsia="Times New Roman" w:hAnsi="Arial" w:cs="Arial"/>
                <w:i/>
                <w:iCs/>
                <w:color w:val="000000"/>
                <w:sz w:val="16"/>
                <w:szCs w:val="16"/>
              </w:rPr>
              <w:t>Shigella</w:t>
            </w:r>
            <w:proofErr w:type="spellEnd"/>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9.6</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+9.6</w:t>
            </w:r>
          </w:p>
        </w:tc>
      </w:tr>
      <w:tr w:rsidR="00C4077C" w:rsidTr="00C4077C">
        <w:tc>
          <w:tcPr>
            <w:tcW w:w="558" w:type="dxa"/>
            <w:vMerge/>
            <w:tcBorders>
              <w:left w:val="single" w:sz="12" w:space="0" w:color="auto"/>
            </w:tcBorders>
            <w:textDirection w:val="btLr"/>
            <w:vAlign w:val="center"/>
          </w:tcPr>
          <w:p w:rsidR="00C4077C" w:rsidRPr="00430F3E" w:rsidRDefault="00C4077C" w:rsidP="00C4077C">
            <w:pPr>
              <w:ind w:right="113"/>
              <w:jc w:val="center"/>
              <w:rPr>
                <w:sz w:val="16"/>
                <w:szCs w:val="16"/>
              </w:rPr>
            </w:pPr>
          </w:p>
        </w:tc>
        <w:tc>
          <w:tcPr>
            <w:tcW w:w="3060" w:type="dxa"/>
            <w:shd w:val="clear" w:color="auto" w:fill="F2F2F2" w:themeFill="background1" w:themeFillShade="F2"/>
            <w:vAlign w:val="center"/>
          </w:tcPr>
          <w:p w:rsidR="00C4077C" w:rsidRPr="00430F3E" w:rsidRDefault="00C4077C" w:rsidP="00C4077C">
            <w:pPr>
              <w:rPr>
                <w:rFonts w:ascii="Arial" w:eastAsia="Times New Roman" w:hAnsi="Arial" w:cs="Times New Roman"/>
                <w:bCs/>
                <w:i/>
                <w:sz w:val="16"/>
                <w:szCs w:val="16"/>
              </w:rPr>
            </w:pPr>
            <w:r>
              <w:rPr>
                <w:rFonts w:ascii="Arial" w:eastAsia="Times New Roman" w:hAnsi="Arial" w:cs="Arial"/>
                <w:i/>
                <w:iCs/>
                <w:color w:val="000000"/>
                <w:sz w:val="16"/>
                <w:szCs w:val="16"/>
              </w:rPr>
              <w:t>Escherichia coli</w:t>
            </w:r>
          </w:p>
        </w:tc>
        <w:tc>
          <w:tcPr>
            <w:tcW w:w="1628"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P9</w:t>
            </w:r>
          </w:p>
        </w:tc>
        <w:tc>
          <w:tcPr>
            <w:tcW w:w="1792"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0.2</w:t>
            </w:r>
          </w:p>
        </w:tc>
        <w:tc>
          <w:tcPr>
            <w:tcW w:w="1890" w:type="dxa"/>
            <w:shd w:val="clear" w:color="auto" w:fill="F2F2F2" w:themeFill="background1" w:themeFillShade="F2"/>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60</w:t>
            </w:r>
          </w:p>
        </w:tc>
        <w:tc>
          <w:tcPr>
            <w:tcW w:w="939" w:type="dxa"/>
            <w:tcBorders>
              <w:right w:val="single" w:sz="12" w:space="0" w:color="auto"/>
            </w:tcBorders>
            <w:shd w:val="clear" w:color="auto" w:fill="F2F2F2" w:themeFill="background1" w:themeFillShade="F2"/>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59.8</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sz w:val="16"/>
                <w:szCs w:val="16"/>
              </w:rPr>
            </w:pPr>
            <w:proofErr w:type="spellStart"/>
            <w:r>
              <w:rPr>
                <w:rFonts w:ascii="Arial" w:eastAsia="Times New Roman" w:hAnsi="Arial" w:cs="Arial"/>
                <w:i/>
                <w:iCs/>
                <w:color w:val="000000"/>
                <w:sz w:val="16"/>
                <w:szCs w:val="16"/>
              </w:rPr>
              <w:t>Rothia</w:t>
            </w:r>
            <w:proofErr w:type="spellEnd"/>
            <w:r>
              <w:rPr>
                <w:rFonts w:ascii="Arial" w:eastAsia="Times New Roman" w:hAnsi="Arial" w:cs="Arial"/>
                <w:i/>
                <w:iCs/>
                <w:color w:val="000000"/>
                <w:sz w:val="16"/>
                <w:szCs w:val="16"/>
              </w:rPr>
              <w:t xml:space="preserve"> </w:t>
            </w:r>
            <w:proofErr w:type="spellStart"/>
            <w:r>
              <w:rPr>
                <w:rFonts w:ascii="Arial" w:eastAsia="Times New Roman" w:hAnsi="Arial" w:cs="Arial"/>
                <w:i/>
                <w:iCs/>
                <w:color w:val="000000"/>
                <w:sz w:val="16"/>
                <w:szCs w:val="16"/>
              </w:rPr>
              <w:t>mucilaginosa</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29.2</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8.9</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-20.3</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parasanguinis</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12.6</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1.3</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-11.3</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salivarius</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12.1</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3</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-9.1</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sz w:val="16"/>
                <w:szCs w:val="16"/>
              </w:rPr>
            </w:pPr>
            <w:proofErr w:type="spellStart"/>
            <w:r>
              <w:rPr>
                <w:rFonts w:ascii="Arial" w:eastAsia="Times New Roman" w:hAnsi="Arial" w:cs="Arial"/>
                <w:i/>
                <w:iCs/>
                <w:color w:val="000000"/>
                <w:sz w:val="16"/>
                <w:szCs w:val="16"/>
              </w:rPr>
              <w:t>Chelonobacter</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0.2</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4.9</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+4.8</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sz w:val="16"/>
                <w:szCs w:val="16"/>
              </w:rPr>
            </w:pPr>
            <w:r>
              <w:rPr>
                <w:rFonts w:ascii="Arial" w:eastAsia="Times New Roman" w:hAnsi="Arial" w:cs="Arial"/>
                <w:i/>
                <w:iCs/>
                <w:color w:val="000000"/>
                <w:sz w:val="16"/>
                <w:szCs w:val="16"/>
              </w:rPr>
              <w:t xml:space="preserve">Haemophilus </w:t>
            </w:r>
            <w:proofErr w:type="spellStart"/>
            <w:r>
              <w:rPr>
                <w:rFonts w:ascii="Arial" w:eastAsia="Times New Roman" w:hAnsi="Arial" w:cs="Arial"/>
                <w:i/>
                <w:iCs/>
                <w:color w:val="000000"/>
                <w:sz w:val="16"/>
                <w:szCs w:val="16"/>
              </w:rPr>
              <w:t>parainfluenzae</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1.9</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15.4</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+13.6</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D9D9D9" w:themeFill="background1" w:themeFillShade="D9"/>
            <w:vAlign w:val="center"/>
          </w:tcPr>
          <w:p w:rsidR="00C4077C" w:rsidRPr="00430F3E" w:rsidRDefault="00C4077C" w:rsidP="00C4077C">
            <w:pPr>
              <w:rPr>
                <w:rFonts w:ascii="Arial" w:eastAsia="Times New Roman" w:hAnsi="Arial" w:cs="Times New Roman"/>
                <w:bCs/>
                <w:i/>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mitis</w:t>
            </w:r>
            <w:proofErr w:type="spellEnd"/>
            <w:r>
              <w:rPr>
                <w:rFonts w:ascii="Arial" w:eastAsia="Times New Roman" w:hAnsi="Arial" w:cs="Arial"/>
                <w:i/>
                <w:iCs/>
                <w:color w:val="000000"/>
                <w:sz w:val="16"/>
                <w:szCs w:val="16"/>
              </w:rPr>
              <w:t>/</w:t>
            </w:r>
            <w:proofErr w:type="spellStart"/>
            <w:r>
              <w:rPr>
                <w:rFonts w:ascii="Arial" w:eastAsia="Times New Roman" w:hAnsi="Arial" w:cs="Arial"/>
                <w:i/>
                <w:iCs/>
                <w:color w:val="000000"/>
                <w:sz w:val="16"/>
                <w:szCs w:val="16"/>
              </w:rPr>
              <w:t>oralis</w:t>
            </w:r>
            <w:proofErr w:type="spellEnd"/>
          </w:p>
        </w:tc>
        <w:tc>
          <w:tcPr>
            <w:tcW w:w="1628"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P2</w:t>
            </w:r>
          </w:p>
        </w:tc>
        <w:tc>
          <w:tcPr>
            <w:tcW w:w="1792"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8.6</w:t>
            </w:r>
          </w:p>
        </w:tc>
        <w:tc>
          <w:tcPr>
            <w:tcW w:w="1890" w:type="dxa"/>
            <w:shd w:val="clear" w:color="auto" w:fill="D9D9D9" w:themeFill="background1" w:themeFillShade="D9"/>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23.7</w:t>
            </w:r>
          </w:p>
        </w:tc>
        <w:tc>
          <w:tcPr>
            <w:tcW w:w="939" w:type="dxa"/>
            <w:tcBorders>
              <w:right w:val="single" w:sz="12" w:space="0" w:color="auto"/>
            </w:tcBorders>
            <w:shd w:val="clear" w:color="auto" w:fill="D9D9D9" w:themeFill="background1" w:themeFillShade="D9"/>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+15.1</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BFBFBF" w:themeFill="background1" w:themeFillShade="BF"/>
            <w:vAlign w:val="center"/>
          </w:tcPr>
          <w:p w:rsidR="00C4077C" w:rsidRPr="00430F3E" w:rsidRDefault="00C4077C" w:rsidP="00C4077C">
            <w:pPr>
              <w:rPr>
                <w:rFonts w:ascii="Arial" w:eastAsia="Times New Roman" w:hAnsi="Arial" w:cs="Times New Roman"/>
                <w:bCs/>
                <w:i/>
                <w:sz w:val="16"/>
                <w:szCs w:val="16"/>
              </w:rPr>
            </w:pPr>
            <w:proofErr w:type="spellStart"/>
            <w:r>
              <w:rPr>
                <w:rFonts w:ascii="Arial" w:eastAsia="Times New Roman" w:hAnsi="Arial" w:cs="Arial"/>
                <w:i/>
                <w:iCs/>
                <w:color w:val="000000"/>
                <w:sz w:val="16"/>
                <w:szCs w:val="16"/>
              </w:rPr>
              <w:t>Prevotellaceae</w:t>
            </w:r>
            <w:proofErr w:type="spellEnd"/>
          </w:p>
        </w:tc>
        <w:tc>
          <w:tcPr>
            <w:tcW w:w="1628"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P7</w:t>
            </w:r>
          </w:p>
        </w:tc>
        <w:tc>
          <w:tcPr>
            <w:tcW w:w="1792"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10.1</w:t>
            </w:r>
          </w:p>
        </w:tc>
        <w:tc>
          <w:tcPr>
            <w:tcW w:w="1890"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3.4</w:t>
            </w:r>
          </w:p>
        </w:tc>
        <w:tc>
          <w:tcPr>
            <w:tcW w:w="939" w:type="dxa"/>
            <w:tcBorders>
              <w:right w:val="single" w:sz="12" w:space="0" w:color="auto"/>
            </w:tcBorders>
            <w:shd w:val="clear" w:color="auto" w:fill="BFBFBF" w:themeFill="background1" w:themeFillShade="BF"/>
            <w:vAlign w:val="center"/>
          </w:tcPr>
          <w:p w:rsidR="00C4077C" w:rsidRPr="00975C7B" w:rsidRDefault="00C4077C" w:rsidP="00C4077C">
            <w:pPr>
              <w:jc w:val="center"/>
              <w:rPr>
                <w:rFonts w:ascii="Arial" w:eastAsia="Times New Roman" w:hAnsi="Arial" w:cs="Times New Roman"/>
                <w:color w:val="FF0000"/>
                <w:sz w:val="16"/>
                <w:szCs w:val="16"/>
              </w:rPr>
            </w:pPr>
            <w:r w:rsidRPr="00975C7B">
              <w:rPr>
                <w:rFonts w:ascii="Arial" w:eastAsia="Times New Roman" w:hAnsi="Arial" w:cs="Arial"/>
                <w:color w:val="FF0000"/>
                <w:sz w:val="16"/>
                <w:szCs w:val="16"/>
              </w:rPr>
              <w:t>-6.6</w:t>
            </w:r>
          </w:p>
        </w:tc>
      </w:tr>
      <w:tr w:rsidR="00C4077C" w:rsidTr="00C4077C">
        <w:tc>
          <w:tcPr>
            <w:tcW w:w="558" w:type="dxa"/>
            <w:vMerge/>
            <w:tcBorders>
              <w:left w:val="single" w:sz="12" w:space="0" w:color="auto"/>
            </w:tcBorders>
          </w:tcPr>
          <w:p w:rsidR="00C4077C" w:rsidRPr="00430F3E" w:rsidRDefault="00C4077C" w:rsidP="00C4077C">
            <w:pPr>
              <w:rPr>
                <w:sz w:val="16"/>
                <w:szCs w:val="16"/>
              </w:rPr>
            </w:pPr>
          </w:p>
        </w:tc>
        <w:tc>
          <w:tcPr>
            <w:tcW w:w="3060" w:type="dxa"/>
            <w:shd w:val="clear" w:color="auto" w:fill="BFBFBF" w:themeFill="background1" w:themeFillShade="BF"/>
            <w:vAlign w:val="center"/>
          </w:tcPr>
          <w:p w:rsidR="00C4077C" w:rsidRPr="00430F3E" w:rsidRDefault="00C4077C" w:rsidP="00C4077C">
            <w:pPr>
              <w:rPr>
                <w:rFonts w:ascii="Arial" w:eastAsia="Times New Roman" w:hAnsi="Arial" w:cs="Times New Roman"/>
                <w:bCs/>
                <w:i/>
                <w:sz w:val="16"/>
                <w:szCs w:val="16"/>
              </w:rPr>
            </w:pPr>
            <w:r>
              <w:rPr>
                <w:rFonts w:ascii="Arial" w:eastAsia="Times New Roman" w:hAnsi="Arial" w:cs="Arial"/>
                <w:i/>
                <w:iCs/>
                <w:color w:val="000000"/>
                <w:sz w:val="16"/>
                <w:szCs w:val="16"/>
              </w:rPr>
              <w:t>Haemophilus</w:t>
            </w:r>
          </w:p>
        </w:tc>
        <w:tc>
          <w:tcPr>
            <w:tcW w:w="1628"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P7</w:t>
            </w:r>
          </w:p>
        </w:tc>
        <w:tc>
          <w:tcPr>
            <w:tcW w:w="1792"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4.9</w:t>
            </w:r>
          </w:p>
        </w:tc>
        <w:tc>
          <w:tcPr>
            <w:tcW w:w="1890" w:type="dxa"/>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9.9</w:t>
            </w:r>
          </w:p>
        </w:tc>
        <w:tc>
          <w:tcPr>
            <w:tcW w:w="939" w:type="dxa"/>
            <w:tcBorders>
              <w:right w:val="single" w:sz="12" w:space="0" w:color="auto"/>
            </w:tcBorders>
            <w:shd w:val="clear" w:color="auto" w:fill="BFBFBF" w:themeFill="background1" w:themeFillShade="BF"/>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+5.0</w:t>
            </w:r>
          </w:p>
        </w:tc>
      </w:tr>
      <w:tr w:rsidR="00C4077C" w:rsidTr="00C4077C">
        <w:tc>
          <w:tcPr>
            <w:tcW w:w="558" w:type="dxa"/>
            <w:vMerge/>
            <w:tcBorders>
              <w:left w:val="single" w:sz="12" w:space="0" w:color="auto"/>
              <w:bottom w:val="single" w:sz="12" w:space="0" w:color="auto"/>
            </w:tcBorders>
          </w:tcPr>
          <w:p w:rsidR="00C4077C" w:rsidRPr="00430F3E" w:rsidRDefault="00C4077C" w:rsidP="00C4077C">
            <w:pPr>
              <w:rPr>
                <w:sz w:val="16"/>
                <w:szCs w:val="16"/>
              </w:rPr>
            </w:pPr>
          </w:p>
        </w:tc>
        <w:tc>
          <w:tcPr>
            <w:tcW w:w="3060" w:type="dxa"/>
            <w:tcBorders>
              <w:bottom w:val="single" w:sz="12" w:space="0" w:color="auto"/>
            </w:tcBorders>
            <w:shd w:val="clear" w:color="auto" w:fill="BFBFBF" w:themeFill="background1" w:themeFillShade="BF"/>
            <w:vAlign w:val="center"/>
          </w:tcPr>
          <w:p w:rsidR="00C4077C" w:rsidRPr="00430F3E" w:rsidRDefault="00C4077C" w:rsidP="00C4077C">
            <w:pPr>
              <w:rPr>
                <w:rFonts w:ascii="Arial" w:eastAsia="Times New Roman" w:hAnsi="Arial" w:cs="Times New Roman"/>
                <w:bCs/>
                <w:i/>
                <w:sz w:val="16"/>
                <w:szCs w:val="16"/>
              </w:rPr>
            </w:pPr>
            <w:r>
              <w:rPr>
                <w:rFonts w:ascii="Arial" w:eastAsia="Times New Roman" w:hAnsi="Arial" w:cs="Arial"/>
                <w:i/>
                <w:iCs/>
                <w:color w:val="000000"/>
                <w:sz w:val="16"/>
                <w:szCs w:val="16"/>
              </w:rPr>
              <w:t xml:space="preserve">Streptococcus </w:t>
            </w:r>
            <w:proofErr w:type="spellStart"/>
            <w:r>
              <w:rPr>
                <w:rFonts w:ascii="Arial" w:eastAsia="Times New Roman" w:hAnsi="Arial" w:cs="Arial"/>
                <w:i/>
                <w:iCs/>
                <w:color w:val="000000"/>
                <w:sz w:val="16"/>
                <w:szCs w:val="16"/>
              </w:rPr>
              <w:t>mitis</w:t>
            </w:r>
            <w:proofErr w:type="spellEnd"/>
            <w:r>
              <w:rPr>
                <w:rFonts w:ascii="Arial" w:eastAsia="Times New Roman" w:hAnsi="Arial" w:cs="Arial"/>
                <w:i/>
                <w:iCs/>
                <w:color w:val="000000"/>
                <w:sz w:val="16"/>
                <w:szCs w:val="16"/>
              </w:rPr>
              <w:t>/</w:t>
            </w:r>
            <w:proofErr w:type="spellStart"/>
            <w:r>
              <w:rPr>
                <w:rFonts w:ascii="Arial" w:eastAsia="Times New Roman" w:hAnsi="Arial" w:cs="Arial"/>
                <w:i/>
                <w:iCs/>
                <w:color w:val="000000"/>
                <w:sz w:val="16"/>
                <w:szCs w:val="16"/>
              </w:rPr>
              <w:t>oralis</w:t>
            </w:r>
            <w:proofErr w:type="spellEnd"/>
          </w:p>
        </w:tc>
        <w:tc>
          <w:tcPr>
            <w:tcW w:w="1628"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P7</w:t>
            </w:r>
          </w:p>
        </w:tc>
        <w:tc>
          <w:tcPr>
            <w:tcW w:w="1792"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7.6</w:t>
            </w:r>
          </w:p>
        </w:tc>
        <w:tc>
          <w:tcPr>
            <w:tcW w:w="1890" w:type="dxa"/>
            <w:tcBorders>
              <w:bottom w:val="single" w:sz="12" w:space="0" w:color="auto"/>
            </w:tcBorders>
            <w:shd w:val="clear" w:color="auto" w:fill="BFBFBF" w:themeFill="background1" w:themeFillShade="BF"/>
            <w:vAlign w:val="center"/>
          </w:tcPr>
          <w:p w:rsidR="00C4077C" w:rsidRPr="00430F3E" w:rsidRDefault="00C4077C" w:rsidP="00C4077C">
            <w:pPr>
              <w:jc w:val="center"/>
              <w:rPr>
                <w:rFonts w:ascii="Arial" w:eastAsia="Times New Roman" w:hAnsi="Arial" w:cs="Times New Roman"/>
                <w:sz w:val="16"/>
                <w:szCs w:val="16"/>
              </w:rPr>
            </w:pPr>
            <w:r>
              <w:rPr>
                <w:rFonts w:ascii="Arial" w:eastAsia="Times New Roman" w:hAnsi="Arial" w:cs="Arial"/>
                <w:color w:val="000000"/>
                <w:sz w:val="16"/>
                <w:szCs w:val="16"/>
              </w:rPr>
              <w:t>25.9</w:t>
            </w:r>
          </w:p>
        </w:tc>
        <w:tc>
          <w:tcPr>
            <w:tcW w:w="939" w:type="dxa"/>
            <w:tcBorders>
              <w:bottom w:val="single" w:sz="12" w:space="0" w:color="auto"/>
              <w:right w:val="single" w:sz="12" w:space="0" w:color="auto"/>
            </w:tcBorders>
            <w:shd w:val="clear" w:color="auto" w:fill="BFBFBF" w:themeFill="background1" w:themeFillShade="BF"/>
            <w:vAlign w:val="center"/>
          </w:tcPr>
          <w:p w:rsidR="00C4077C" w:rsidRPr="00975C7B" w:rsidRDefault="00C4077C" w:rsidP="00C4077C">
            <w:pPr>
              <w:jc w:val="center"/>
              <w:rPr>
                <w:rFonts w:ascii="Arial" w:eastAsia="Times New Roman" w:hAnsi="Arial" w:cs="Times New Roman"/>
                <w:color w:val="008000"/>
                <w:sz w:val="16"/>
                <w:szCs w:val="16"/>
              </w:rPr>
            </w:pPr>
            <w:r w:rsidRPr="00975C7B">
              <w:rPr>
                <w:rFonts w:ascii="Arial" w:eastAsia="Times New Roman" w:hAnsi="Arial" w:cs="Arial"/>
                <w:color w:val="008000"/>
                <w:sz w:val="16"/>
                <w:szCs w:val="16"/>
              </w:rPr>
              <w:t>+18.3</w:t>
            </w:r>
          </w:p>
        </w:tc>
      </w:tr>
    </w:tbl>
    <w:p w:rsidR="00656B2D" w:rsidRDefault="00656B2D" w:rsidP="00635D51">
      <w:pPr>
        <w:rPr>
          <w:rFonts w:ascii="Arial" w:hAnsi="Arial"/>
          <w:b/>
        </w:rPr>
      </w:pPr>
    </w:p>
    <w:p w:rsidR="00550A34" w:rsidRPr="00635D51" w:rsidRDefault="00635D51">
      <w:pPr>
        <w:rPr>
          <w:rFonts w:ascii="Arial" w:hAnsi="Arial"/>
          <w:sz w:val="20"/>
          <w:szCs w:val="20"/>
        </w:rPr>
      </w:pPr>
      <w:r>
        <w:rPr>
          <w:rFonts w:ascii="Arial" w:hAnsi="Arial"/>
          <w:sz w:val="20"/>
          <w:szCs w:val="20"/>
        </w:rPr>
        <w:t xml:space="preserve">*Relative abundance at the first and second time point was calculated by dividing the species specific read counts by the total number of counts detected at respective sites within individuals and multiplied by </w:t>
      </w:r>
      <w:r>
        <w:rPr>
          <w:rFonts w:ascii="Arial" w:hAnsi="Arial"/>
          <w:sz w:val="20"/>
          <w:szCs w:val="20"/>
        </w:rPr>
        <w:lastRenderedPageBreak/>
        <w:t>100%.</w:t>
      </w:r>
      <w:r w:rsidRPr="0054200D">
        <w:rPr>
          <w:rFonts w:ascii="Arial" w:hAnsi="Arial"/>
          <w:sz w:val="20"/>
          <w:szCs w:val="20"/>
        </w:rPr>
        <w:t xml:space="preserve"> </w:t>
      </w:r>
      <w:r>
        <w:rPr>
          <w:rFonts w:ascii="Arial" w:hAnsi="Arial"/>
          <w:sz w:val="20"/>
          <w:szCs w:val="20"/>
        </w:rPr>
        <w:t>O</w:t>
      </w:r>
      <w:r w:rsidRPr="00543EA6">
        <w:rPr>
          <w:rFonts w:ascii="Arial" w:hAnsi="Arial"/>
          <w:sz w:val="20"/>
          <w:szCs w:val="20"/>
        </w:rPr>
        <w:t xml:space="preserve">nly OTUs that exhibited an increase of decrease of </w:t>
      </w:r>
      <m:oMath>
        <m:r>
          <w:rPr>
            <w:rFonts w:ascii="Cambria Math" w:hAnsi="Cambria Math"/>
            <w:sz w:val="20"/>
            <w:szCs w:val="20"/>
          </w:rPr>
          <m:t>≥</m:t>
        </m:r>
      </m:oMath>
      <w:r w:rsidRPr="00543EA6">
        <w:rPr>
          <w:rFonts w:ascii="Arial" w:hAnsi="Arial"/>
          <w:sz w:val="20"/>
          <w:szCs w:val="20"/>
        </w:rPr>
        <w:t xml:space="preserve"> 5% between the two time points sampled are represented</w:t>
      </w:r>
      <w:r>
        <w:rPr>
          <w:rFonts w:ascii="Arial" w:hAnsi="Arial"/>
          <w:sz w:val="20"/>
          <w:szCs w:val="20"/>
        </w:rPr>
        <w:t>.</w:t>
      </w:r>
    </w:p>
    <w:sectPr w:rsidR="00550A34" w:rsidRPr="00635D51" w:rsidSect="00B7147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51"/>
    <w:rsid w:val="000D750B"/>
    <w:rsid w:val="00491D5A"/>
    <w:rsid w:val="00550A34"/>
    <w:rsid w:val="005F6405"/>
    <w:rsid w:val="00635D51"/>
    <w:rsid w:val="00656B2D"/>
    <w:rsid w:val="008A1B36"/>
    <w:rsid w:val="00976C16"/>
    <w:rsid w:val="00B7147B"/>
    <w:rsid w:val="00C13432"/>
    <w:rsid w:val="00C40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5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D5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51"/>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5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D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2387</Characters>
  <Application>Microsoft Office Word</Application>
  <DocSecurity>0</DocSecurity>
  <Lines>19</Lines>
  <Paragraphs>5</Paragraphs>
  <ScaleCrop>false</ScaleCrop>
  <Company>University of Washington</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Gall</dc:creator>
  <cp:keywords/>
  <dc:description/>
  <cp:lastModifiedBy>Salama, Nina R</cp:lastModifiedBy>
  <cp:revision>4</cp:revision>
  <dcterms:created xsi:type="dcterms:W3CDTF">2014-08-18T23:51:00Z</dcterms:created>
  <dcterms:modified xsi:type="dcterms:W3CDTF">2015-01-08T21:00:00Z</dcterms:modified>
</cp:coreProperties>
</file>