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DC" w:rsidRPr="0013746A" w:rsidRDefault="000C0BCF" w:rsidP="00900CDC">
      <w:pPr>
        <w:autoSpaceDE w:val="0"/>
        <w:autoSpaceDN w:val="0"/>
        <w:adjustRightInd w:val="0"/>
        <w:spacing w:after="0" w:line="240" w:lineRule="auto"/>
        <w:rPr>
          <w:rFonts w:cs="BulldogStd"/>
          <w:b/>
          <w:sz w:val="28"/>
          <w:szCs w:val="28"/>
        </w:rPr>
      </w:pPr>
      <w:r>
        <w:rPr>
          <w:rFonts w:cs="BulldogStd"/>
          <w:b/>
          <w:sz w:val="28"/>
          <w:szCs w:val="28"/>
        </w:rPr>
        <w:t xml:space="preserve">S4 </w:t>
      </w:r>
      <w:r w:rsidR="00900CDC" w:rsidRPr="0013746A">
        <w:rPr>
          <w:rFonts w:cs="BulldogStd"/>
          <w:b/>
          <w:sz w:val="28"/>
          <w:szCs w:val="28"/>
        </w:rPr>
        <w:t>APPENDIX</w:t>
      </w:r>
      <w:bookmarkStart w:id="0" w:name="_GoBack"/>
      <w:bookmarkEnd w:id="0"/>
      <w:r w:rsidR="00900CDC" w:rsidRPr="0013746A">
        <w:rPr>
          <w:rFonts w:cs="BulldogStd"/>
          <w:b/>
          <w:sz w:val="28"/>
          <w:szCs w:val="28"/>
        </w:rPr>
        <w:t>:</w:t>
      </w:r>
    </w:p>
    <w:p w:rsidR="00900CDC" w:rsidRDefault="00900CDC" w:rsidP="00900CDC">
      <w:pPr>
        <w:autoSpaceDE w:val="0"/>
        <w:autoSpaceDN w:val="0"/>
        <w:adjustRightInd w:val="0"/>
        <w:spacing w:after="0" w:line="240" w:lineRule="auto"/>
        <w:rPr>
          <w:rFonts w:cs="BulldogStd"/>
        </w:rPr>
      </w:pPr>
    </w:p>
    <w:p w:rsidR="00900CDC" w:rsidRDefault="00900CDC" w:rsidP="00900CDC">
      <w:pPr>
        <w:autoSpaceDE w:val="0"/>
        <w:autoSpaceDN w:val="0"/>
        <w:adjustRightInd w:val="0"/>
        <w:spacing w:after="0" w:line="240" w:lineRule="auto"/>
        <w:rPr>
          <w:rFonts w:cs="BulldogStd"/>
          <w:noProof/>
          <w:lang w:val="en-US"/>
        </w:rPr>
      </w:pPr>
    </w:p>
    <w:tbl>
      <w:tblPr>
        <w:tblStyle w:val="TableGrid"/>
        <w:tblW w:w="0" w:type="auto"/>
        <w:tblLook w:val="04A0"/>
      </w:tblPr>
      <w:tblGrid>
        <w:gridCol w:w="4621"/>
        <w:gridCol w:w="4621"/>
      </w:tblGrid>
      <w:tr w:rsidR="00900CDC" w:rsidTr="00D024CC">
        <w:tc>
          <w:tcPr>
            <w:tcW w:w="9242" w:type="dxa"/>
            <w:gridSpan w:val="2"/>
            <w:tcBorders>
              <w:top w:val="single" w:sz="4" w:space="0" w:color="auto"/>
              <w:left w:val="single" w:sz="4" w:space="0" w:color="auto"/>
              <w:bottom w:val="single" w:sz="4" w:space="0" w:color="auto"/>
              <w:right w:val="single" w:sz="4" w:space="0" w:color="auto"/>
            </w:tcBorders>
          </w:tcPr>
          <w:p w:rsidR="00900CDC" w:rsidRPr="00075D6C" w:rsidRDefault="00900CDC" w:rsidP="00D024CC">
            <w:pPr>
              <w:keepNext/>
              <w:keepLines/>
              <w:autoSpaceDE w:val="0"/>
              <w:autoSpaceDN w:val="0"/>
              <w:adjustRightInd w:val="0"/>
              <w:spacing w:before="200" w:line="276" w:lineRule="auto"/>
              <w:outlineLvl w:val="8"/>
              <w:rPr>
                <w:rFonts w:cs="BulldogStd"/>
                <w:b/>
                <w:sz w:val="20"/>
                <w:szCs w:val="20"/>
              </w:rPr>
            </w:pPr>
            <w:r w:rsidRPr="00075D6C">
              <w:rPr>
                <w:rFonts w:cs="BulldogStd"/>
                <w:b/>
                <w:sz w:val="20"/>
                <w:szCs w:val="20"/>
              </w:rPr>
              <w:t xml:space="preserve">Table </w:t>
            </w:r>
            <w:r>
              <w:rPr>
                <w:rFonts w:cs="BulldogStd"/>
                <w:b/>
                <w:sz w:val="20"/>
                <w:szCs w:val="20"/>
              </w:rPr>
              <w:t>S</w:t>
            </w:r>
            <w:r w:rsidRPr="00075D6C">
              <w:rPr>
                <w:rFonts w:cs="BulldogStd"/>
                <w:b/>
                <w:sz w:val="20"/>
                <w:szCs w:val="20"/>
              </w:rPr>
              <w:t>4:- Examples of focussed and diffuse impact</w:t>
            </w:r>
          </w:p>
        </w:tc>
      </w:tr>
      <w:tr w:rsidR="00900CDC" w:rsidTr="00D024CC">
        <w:tc>
          <w:tcPr>
            <w:tcW w:w="4621" w:type="dxa"/>
            <w:tcBorders>
              <w:top w:val="single" w:sz="4" w:space="0" w:color="auto"/>
              <w:left w:val="single" w:sz="4" w:space="0" w:color="auto"/>
              <w:bottom w:val="single" w:sz="4" w:space="0" w:color="auto"/>
              <w:right w:val="single" w:sz="4" w:space="0" w:color="auto"/>
            </w:tcBorders>
          </w:tcPr>
          <w:p w:rsidR="00900CDC" w:rsidRPr="00075D6C" w:rsidRDefault="00900CDC" w:rsidP="00D024CC">
            <w:pPr>
              <w:keepNext/>
              <w:keepLines/>
              <w:autoSpaceDE w:val="0"/>
              <w:autoSpaceDN w:val="0"/>
              <w:adjustRightInd w:val="0"/>
              <w:spacing w:before="200" w:line="276" w:lineRule="auto"/>
              <w:outlineLvl w:val="8"/>
              <w:rPr>
                <w:rFonts w:cs="BulldogStd"/>
                <w:b/>
                <w:sz w:val="20"/>
                <w:szCs w:val="20"/>
              </w:rPr>
            </w:pPr>
            <w:r w:rsidRPr="00075D6C">
              <w:rPr>
                <w:rFonts w:cs="BulldogStd"/>
                <w:b/>
                <w:sz w:val="20"/>
                <w:szCs w:val="20"/>
              </w:rPr>
              <w:t>Focussed impact</w:t>
            </w:r>
          </w:p>
        </w:tc>
        <w:tc>
          <w:tcPr>
            <w:tcW w:w="4621" w:type="dxa"/>
            <w:tcBorders>
              <w:top w:val="single" w:sz="4" w:space="0" w:color="auto"/>
              <w:left w:val="single" w:sz="4" w:space="0" w:color="auto"/>
              <w:bottom w:val="single" w:sz="4" w:space="0" w:color="auto"/>
              <w:right w:val="single" w:sz="4" w:space="0" w:color="auto"/>
            </w:tcBorders>
          </w:tcPr>
          <w:p w:rsidR="00900CDC" w:rsidRPr="00075D6C" w:rsidRDefault="00900CDC" w:rsidP="00D024CC">
            <w:pPr>
              <w:keepNext/>
              <w:keepLines/>
              <w:autoSpaceDE w:val="0"/>
              <w:autoSpaceDN w:val="0"/>
              <w:adjustRightInd w:val="0"/>
              <w:spacing w:before="200" w:line="276" w:lineRule="auto"/>
              <w:outlineLvl w:val="8"/>
              <w:rPr>
                <w:rFonts w:cs="BulldogStd"/>
                <w:b/>
                <w:sz w:val="20"/>
                <w:szCs w:val="20"/>
              </w:rPr>
            </w:pPr>
            <w:r w:rsidRPr="00075D6C">
              <w:rPr>
                <w:rFonts w:cs="BulldogStd"/>
                <w:b/>
                <w:sz w:val="20"/>
                <w:szCs w:val="20"/>
              </w:rPr>
              <w:t>Diffuse impact</w:t>
            </w:r>
          </w:p>
        </w:tc>
      </w:tr>
      <w:tr w:rsidR="00900CDC" w:rsidTr="00D024CC">
        <w:tc>
          <w:tcPr>
            <w:tcW w:w="4621" w:type="dxa"/>
            <w:tcBorders>
              <w:top w:val="single" w:sz="4" w:space="0" w:color="auto"/>
            </w:tcBorders>
          </w:tcPr>
          <w:p w:rsidR="00900CDC" w:rsidRPr="00075D6C" w:rsidRDefault="00900CDC" w:rsidP="00D024CC">
            <w:pPr>
              <w:rPr>
                <w:sz w:val="20"/>
                <w:szCs w:val="20"/>
              </w:rPr>
            </w:pPr>
            <w:r w:rsidRPr="00075D6C">
              <w:rPr>
                <w:sz w:val="20"/>
                <w:szCs w:val="20"/>
              </w:rPr>
              <w:t>“We got rid of whole scales […] it definitely had an effect on our response rates and probably attrition I would think.” (TM – 3)</w:t>
            </w:r>
          </w:p>
        </w:tc>
        <w:tc>
          <w:tcPr>
            <w:tcW w:w="4621" w:type="dxa"/>
            <w:tcBorders>
              <w:top w:val="single" w:sz="4" w:space="0" w:color="auto"/>
            </w:tcBorders>
          </w:tcPr>
          <w:p w:rsidR="00900CDC" w:rsidRPr="00075D6C" w:rsidRDefault="00900CDC" w:rsidP="00D024CC">
            <w:pPr>
              <w:rPr>
                <w:rFonts w:cs="Arial"/>
                <w:color w:val="000000" w:themeColor="text1"/>
                <w:sz w:val="20"/>
                <w:szCs w:val="20"/>
              </w:rPr>
            </w:pPr>
            <w:r w:rsidRPr="00075D6C">
              <w:rPr>
                <w:rFonts w:cs="Arial"/>
                <w:color w:val="000000" w:themeColor="text1"/>
                <w:sz w:val="20"/>
                <w:szCs w:val="20"/>
              </w:rPr>
              <w:t>“For me the main contribution is that they remind us all the time what it’s about. So we don’t lose touch with what our patient population is or what the trial’s about actually.” (CI – 20)</w:t>
            </w:r>
          </w:p>
        </w:tc>
      </w:tr>
      <w:tr w:rsidR="00900CDC" w:rsidTr="00D024CC">
        <w:tc>
          <w:tcPr>
            <w:tcW w:w="4621" w:type="dxa"/>
          </w:tcPr>
          <w:p w:rsidR="00900CDC" w:rsidRPr="00075D6C" w:rsidRDefault="00900CDC" w:rsidP="00D024CC">
            <w:pPr>
              <w:rPr>
                <w:rFonts w:cs="Arial"/>
                <w:color w:val="000000"/>
                <w:sz w:val="20"/>
                <w:szCs w:val="20"/>
              </w:rPr>
            </w:pPr>
            <w:r w:rsidRPr="00075D6C">
              <w:rPr>
                <w:rFonts w:cs="Arial"/>
                <w:color w:val="000000"/>
                <w:sz w:val="20"/>
                <w:szCs w:val="20"/>
              </w:rPr>
              <w:t>“It probably made some of the questions easier to understand […] and therefore it would have improved the data collection.” (CI – 3)</w:t>
            </w:r>
          </w:p>
        </w:tc>
        <w:tc>
          <w:tcPr>
            <w:tcW w:w="4621" w:type="dxa"/>
          </w:tcPr>
          <w:p w:rsidR="00900CDC" w:rsidRPr="00075D6C" w:rsidRDefault="00900CDC" w:rsidP="00D024CC">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 w:val="20"/>
                <w:szCs w:val="20"/>
              </w:rPr>
            </w:pPr>
            <w:r w:rsidRPr="00075D6C">
              <w:rPr>
                <w:rFonts w:cs="Arial"/>
                <w:sz w:val="20"/>
                <w:szCs w:val="20"/>
              </w:rPr>
              <w:t xml:space="preserve">“They were great […] it made it sort of like a real, researching something that was quite real and felt like it was important.” (CI - 7) </w:t>
            </w:r>
          </w:p>
        </w:tc>
      </w:tr>
      <w:tr w:rsidR="00900CDC" w:rsidTr="00D024CC">
        <w:tc>
          <w:tcPr>
            <w:tcW w:w="4621" w:type="dxa"/>
          </w:tcPr>
          <w:p w:rsidR="00900CDC" w:rsidRPr="00075D6C" w:rsidRDefault="00900CDC" w:rsidP="00D024CC">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0"/>
                <w:szCs w:val="20"/>
              </w:rPr>
            </w:pPr>
            <w:r w:rsidRPr="00075D6C">
              <w:rPr>
                <w:rFonts w:cs="Arial"/>
                <w:color w:val="000000"/>
                <w:sz w:val="20"/>
                <w:szCs w:val="20"/>
              </w:rPr>
              <w:t xml:space="preserve">“The intervention acceptability, […] hopefully the effect of the intervention should hopefully be maximised by tailoring it to the needs of the community.” (CI – 1) </w:t>
            </w:r>
          </w:p>
        </w:tc>
        <w:tc>
          <w:tcPr>
            <w:tcW w:w="4621" w:type="dxa"/>
          </w:tcPr>
          <w:p w:rsidR="00900CDC" w:rsidRPr="00075D6C" w:rsidRDefault="00900CDC" w:rsidP="00D024CC">
            <w:pPr>
              <w:rPr>
                <w:rFonts w:cs="Arial"/>
                <w:sz w:val="20"/>
                <w:szCs w:val="20"/>
              </w:rPr>
            </w:pPr>
            <w:r w:rsidRPr="00075D6C">
              <w:rPr>
                <w:rFonts w:cs="Arial"/>
                <w:sz w:val="20"/>
                <w:szCs w:val="20"/>
              </w:rPr>
              <w:t>“I think it does make the academics stop and think […] I think that’s a good thing because I think the academics can get a bit too bogged down in their acronyms and the stats and things and actually forget that there’s people at the end of it.” (TM – 18)</w:t>
            </w:r>
          </w:p>
        </w:tc>
      </w:tr>
      <w:tr w:rsidR="00900CDC" w:rsidTr="00D024CC">
        <w:tc>
          <w:tcPr>
            <w:tcW w:w="4621" w:type="dxa"/>
          </w:tcPr>
          <w:p w:rsidR="00900CDC" w:rsidRPr="00075D6C" w:rsidRDefault="00900CDC" w:rsidP="00D024CC">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szCs w:val="20"/>
              </w:rPr>
            </w:pPr>
            <w:r w:rsidRPr="00075D6C">
              <w:rPr>
                <w:rFonts w:cs="Arial"/>
                <w:sz w:val="20"/>
                <w:szCs w:val="20"/>
              </w:rPr>
              <w:t>“The ethics committee were saying that they didn’t want women to be phoned up […] the professor asked me to provide [...] a customer’s point of view […], she came back later to say that on the basis of [my letter] the ethics committee had changed their minds and now agreed that follow-up phone calls could be held […] [it] could have affected the full outcome of the trial had they not agreed to do that.” (PPI – 11-1)</w:t>
            </w:r>
          </w:p>
        </w:tc>
        <w:tc>
          <w:tcPr>
            <w:tcW w:w="4621" w:type="dxa"/>
          </w:tcPr>
          <w:p w:rsidR="00900CDC" w:rsidRPr="00075D6C" w:rsidRDefault="00900CDC" w:rsidP="00D024CC">
            <w:pPr>
              <w:rPr>
                <w:rFonts w:cs="Arial"/>
                <w:color w:val="000000" w:themeColor="text1"/>
                <w:sz w:val="20"/>
                <w:szCs w:val="20"/>
              </w:rPr>
            </w:pPr>
            <w:r w:rsidRPr="00075D6C">
              <w:rPr>
                <w:rFonts w:cs="Arial"/>
                <w:sz w:val="20"/>
                <w:szCs w:val="20"/>
              </w:rPr>
              <w:t xml:space="preserve">“[If] academics go off into a corner developing a piece of research that's totally irrelevant to the real situation, and they never talk to patients or carers or the public about it […] the original purpose may be lost in a way; what are we doing this for?” (PPI – 22)  </w:t>
            </w:r>
          </w:p>
        </w:tc>
      </w:tr>
    </w:tbl>
    <w:p w:rsidR="00DD2C5F" w:rsidRDefault="00DD2C5F"/>
    <w:sectPr w:rsidR="00DD2C5F" w:rsidSect="003458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ulldogSt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CDC"/>
    <w:rsid w:val="000C0BCF"/>
    <w:rsid w:val="003458A2"/>
    <w:rsid w:val="00900CDC"/>
    <w:rsid w:val="00DD2C5F"/>
    <w:rsid w:val="00EE19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Dudley</dc:creator>
  <cp:lastModifiedBy>Home</cp:lastModifiedBy>
  <cp:revision>2</cp:revision>
  <dcterms:created xsi:type="dcterms:W3CDTF">2015-05-12T18:19:00Z</dcterms:created>
  <dcterms:modified xsi:type="dcterms:W3CDTF">2015-05-12T18:19:00Z</dcterms:modified>
</cp:coreProperties>
</file>