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B9337" w14:textId="31FE0C85" w:rsidR="00C60FD7" w:rsidRDefault="00ED13DC" w:rsidP="00C60FD7">
      <w:pPr>
        <w:ind w:right="540"/>
      </w:pPr>
      <w:r>
        <w:rPr>
          <w:b/>
        </w:rPr>
        <w:t xml:space="preserve">Supplemental </w:t>
      </w:r>
      <w:r w:rsidR="00C60FD7">
        <w:rPr>
          <w:b/>
        </w:rPr>
        <w:t xml:space="preserve">Table </w:t>
      </w:r>
      <w:r w:rsidR="001C223F">
        <w:rPr>
          <w:b/>
        </w:rPr>
        <w:t>S6</w:t>
      </w:r>
      <w:bookmarkStart w:id="0" w:name="_GoBack"/>
      <w:bookmarkEnd w:id="0"/>
      <w:r w:rsidR="00C60FD7" w:rsidRPr="004041C9">
        <w:rPr>
          <w:b/>
        </w:rPr>
        <w:t>:</w:t>
      </w:r>
      <w:r w:rsidR="00C60FD7" w:rsidRPr="004041C9">
        <w:t xml:space="preserve">  Genes in the genome of the </w:t>
      </w:r>
      <w:r w:rsidR="00C60FD7" w:rsidRPr="00A67D13">
        <w:rPr>
          <w:i/>
        </w:rPr>
        <w:t>D</w:t>
      </w:r>
      <w:r w:rsidR="00C60FD7">
        <w:rPr>
          <w:i/>
        </w:rPr>
        <w:t>rosophila</w:t>
      </w:r>
      <w:r w:rsidR="00C60FD7" w:rsidRPr="00A67D13">
        <w:rPr>
          <w:i/>
        </w:rPr>
        <w:t xml:space="preserve"> melanogaster</w:t>
      </w:r>
      <w:r w:rsidR="00C60FD7" w:rsidRPr="004041C9">
        <w:t xml:space="preserve"> </w:t>
      </w:r>
      <w:r w:rsidR="00C60FD7" w:rsidRPr="00A1136D">
        <w:rPr>
          <w:i/>
        </w:rPr>
        <w:t>91-R</w:t>
      </w:r>
      <w:r w:rsidR="00C60FD7" w:rsidRPr="004041C9">
        <w:t xml:space="preserve"> strain that are within regions putatively affected by selective sweeps caused by fixation of DDT resistant traits</w:t>
      </w:r>
      <w:r w:rsidR="00C60FD7">
        <w:t xml:space="preserve"> (please see Figure 1)</w:t>
      </w:r>
      <w:r w:rsidR="00C60FD7" w:rsidRPr="004041C9">
        <w:t xml:space="preserve">. </w:t>
      </w:r>
      <w:r w:rsidR="00C60FD7">
        <w:t>Expression in adult head (</w:t>
      </w:r>
      <w:proofErr w:type="spellStart"/>
      <w:r w:rsidR="00C60FD7">
        <w:t>hd</w:t>
      </w:r>
      <w:proofErr w:type="spellEnd"/>
      <w:r w:rsidR="00C60FD7">
        <w:t>), brain (</w:t>
      </w:r>
      <w:proofErr w:type="spellStart"/>
      <w:r w:rsidR="00C60FD7">
        <w:t>br</w:t>
      </w:r>
      <w:proofErr w:type="spellEnd"/>
      <w:r w:rsidR="00C60FD7">
        <w:t xml:space="preserve">), </w:t>
      </w:r>
      <w:proofErr w:type="spellStart"/>
      <w:r w:rsidR="00C60FD7">
        <w:t>malpigian</w:t>
      </w:r>
      <w:proofErr w:type="spellEnd"/>
      <w:r w:rsidR="00C60FD7">
        <w:t xml:space="preserve"> tubules (</w:t>
      </w:r>
      <w:proofErr w:type="spellStart"/>
      <w:r w:rsidR="00C60FD7">
        <w:t>mt</w:t>
      </w:r>
      <w:proofErr w:type="spellEnd"/>
      <w:r w:rsidR="00C60FD7">
        <w:t>), central nervous system (</w:t>
      </w:r>
      <w:proofErr w:type="spellStart"/>
      <w:r w:rsidR="00C60FD7">
        <w:t>cns</w:t>
      </w:r>
      <w:proofErr w:type="spellEnd"/>
      <w:r w:rsidR="00C60FD7">
        <w:t>) and reproductive tissues (</w:t>
      </w:r>
      <w:proofErr w:type="spellStart"/>
      <w:r w:rsidR="00C60FD7">
        <w:t>rt</w:t>
      </w:r>
      <w:proofErr w:type="spellEnd"/>
      <w:r w:rsidR="00C60FD7">
        <w:t>; testis and/or ovaries) are shown as indicated in FlyBase.org.</w:t>
      </w:r>
    </w:p>
    <w:p w14:paraId="6F9BA747" w14:textId="77777777" w:rsidR="00C60FD7" w:rsidRPr="004041C9" w:rsidRDefault="00C60FD7" w:rsidP="00C60FD7">
      <w:pPr>
        <w:ind w:right="540"/>
      </w:pPr>
    </w:p>
    <w:tbl>
      <w:tblPr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1440"/>
        <w:gridCol w:w="1080"/>
        <w:gridCol w:w="5760"/>
        <w:gridCol w:w="236"/>
        <w:gridCol w:w="540"/>
        <w:gridCol w:w="900"/>
        <w:gridCol w:w="810"/>
        <w:gridCol w:w="484"/>
      </w:tblGrid>
      <w:tr w:rsidR="00E504B7" w:rsidRPr="00E504B7" w14:paraId="2160282C" w14:textId="77777777" w:rsidTr="00E504B7">
        <w:tc>
          <w:tcPr>
            <w:tcW w:w="450" w:type="dxa"/>
            <w:shd w:val="clear" w:color="auto" w:fill="auto"/>
          </w:tcPr>
          <w:p w14:paraId="416D4A33" w14:textId="77777777" w:rsidR="00C60FD7" w:rsidRPr="00E504B7" w:rsidRDefault="00C60FD7" w:rsidP="001B1CB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18C466AA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1A33CF5" w14:textId="77777777" w:rsidR="00C60FD7" w:rsidRPr="00E504B7" w:rsidRDefault="00C60FD7" w:rsidP="001B1CB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E665B7F" w14:textId="77777777" w:rsidR="00C60FD7" w:rsidRPr="00E504B7" w:rsidRDefault="00C60FD7" w:rsidP="001B1CBB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14:paraId="27D0DE78" w14:textId="77777777" w:rsidR="00C60FD7" w:rsidRPr="00E504B7" w:rsidRDefault="00C60FD7" w:rsidP="001B1CBB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F37870" w14:textId="7963D80B" w:rsidR="00C60FD7" w:rsidRPr="00E504B7" w:rsidRDefault="00DF3766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  Known t</w:t>
            </w:r>
            <w:r w:rsidR="00C60FD7" w:rsidRPr="00E504B7">
              <w:rPr>
                <w:sz w:val="18"/>
                <w:szCs w:val="18"/>
              </w:rPr>
              <w:t>issue specific transcription</w:t>
            </w:r>
          </w:p>
        </w:tc>
      </w:tr>
      <w:tr w:rsidR="00E504B7" w:rsidRPr="00E504B7" w14:paraId="7C0FAA2D" w14:textId="77777777" w:rsidTr="00E504B7"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14:paraId="00F1DE67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ID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14:paraId="59EDD4A8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Genome interval 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14041690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proofErr w:type="spellStart"/>
            <w:r w:rsidRPr="00E504B7">
              <w:rPr>
                <w:sz w:val="18"/>
                <w:szCs w:val="18"/>
              </w:rPr>
              <w:t>Flybase</w:t>
            </w:r>
            <w:proofErr w:type="spellEnd"/>
            <w:r w:rsidRPr="00E504B7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14:paraId="7BE255F8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Gene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auto"/>
          </w:tcPr>
          <w:p w14:paraId="35090C1F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Functional annotation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22D302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4B7">
              <w:rPr>
                <w:sz w:val="18"/>
                <w:szCs w:val="18"/>
              </w:rPr>
              <w:t>hd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05D415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4B7">
              <w:rPr>
                <w:sz w:val="18"/>
                <w:szCs w:val="18"/>
              </w:rPr>
              <w:t>br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14:paraId="50A61A18" w14:textId="77777777" w:rsidR="00C60FD7" w:rsidRPr="00E504B7" w:rsidRDefault="00C60FD7" w:rsidP="001B1CBB">
            <w:pPr>
              <w:ind w:left="-108" w:right="52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4B7">
              <w:rPr>
                <w:sz w:val="18"/>
                <w:szCs w:val="18"/>
              </w:rPr>
              <w:t>mt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F43FD36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04B7">
              <w:rPr>
                <w:sz w:val="18"/>
                <w:szCs w:val="18"/>
              </w:rPr>
              <w:t>cns</w:t>
            </w:r>
            <w:proofErr w:type="spellEnd"/>
            <w:proofErr w:type="gramEnd"/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</w:tcPr>
          <w:p w14:paraId="3E55C913" w14:textId="1915418F" w:rsidR="00C60FD7" w:rsidRPr="00E504B7" w:rsidRDefault="009B4777" w:rsidP="001B1CBB">
            <w:pPr>
              <w:jc w:val="center"/>
              <w:rPr>
                <w:sz w:val="18"/>
                <w:szCs w:val="18"/>
              </w:rPr>
            </w:pPr>
            <w:proofErr w:type="spellStart"/>
            <w:r w:rsidRPr="00E504B7">
              <w:rPr>
                <w:sz w:val="18"/>
                <w:szCs w:val="18"/>
              </w:rPr>
              <w:t>R</w:t>
            </w:r>
            <w:r w:rsidR="00C60FD7" w:rsidRPr="00E504B7">
              <w:rPr>
                <w:sz w:val="18"/>
                <w:szCs w:val="18"/>
              </w:rPr>
              <w:t>t</w:t>
            </w:r>
            <w:proofErr w:type="spellEnd"/>
          </w:p>
        </w:tc>
      </w:tr>
      <w:tr w:rsidR="00E504B7" w:rsidRPr="00E504B7" w14:paraId="017BF3B7" w14:textId="77777777" w:rsidTr="00E504B7">
        <w:tc>
          <w:tcPr>
            <w:tcW w:w="450" w:type="dxa"/>
            <w:shd w:val="clear" w:color="auto" w:fill="auto"/>
          </w:tcPr>
          <w:p w14:paraId="00007D1C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2700" w:type="dxa"/>
            <w:shd w:val="clear" w:color="auto" w:fill="auto"/>
          </w:tcPr>
          <w:p w14:paraId="2DCC38EB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2L</w:t>
            </w:r>
            <w:proofErr w:type="gramStart"/>
            <w:r w:rsidRPr="00E504B7">
              <w:rPr>
                <w:sz w:val="18"/>
                <w:szCs w:val="18"/>
              </w:rPr>
              <w:t>:1,219,293</w:t>
            </w:r>
            <w:proofErr w:type="gramEnd"/>
            <w:r w:rsidRPr="00E504B7">
              <w:rPr>
                <w:sz w:val="18"/>
                <w:szCs w:val="18"/>
              </w:rPr>
              <w:t>..1,229,802 [+]</w:t>
            </w:r>
          </w:p>
        </w:tc>
        <w:tc>
          <w:tcPr>
            <w:tcW w:w="1440" w:type="dxa"/>
            <w:shd w:val="clear" w:color="auto" w:fill="auto"/>
          </w:tcPr>
          <w:p w14:paraId="0EB06D7C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FBgn0259229</w:t>
            </w:r>
          </w:p>
        </w:tc>
        <w:tc>
          <w:tcPr>
            <w:tcW w:w="1080" w:type="dxa"/>
            <w:shd w:val="clear" w:color="auto" w:fill="auto"/>
          </w:tcPr>
          <w:p w14:paraId="2164F4B5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CG42329</w:t>
            </w:r>
          </w:p>
        </w:tc>
        <w:tc>
          <w:tcPr>
            <w:tcW w:w="5760" w:type="dxa"/>
            <w:shd w:val="clear" w:color="auto" w:fill="auto"/>
          </w:tcPr>
          <w:p w14:paraId="390C823F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proofErr w:type="spellStart"/>
            <w:r w:rsidRPr="00E504B7">
              <w:rPr>
                <w:sz w:val="18"/>
                <w:szCs w:val="18"/>
              </w:rPr>
              <w:t>Acytltransferase</w:t>
            </w:r>
            <w:proofErr w:type="spellEnd"/>
            <w:r w:rsidRPr="00E504B7">
              <w:rPr>
                <w:sz w:val="18"/>
                <w:szCs w:val="18"/>
              </w:rPr>
              <w:t xml:space="preserve">; NFR6 homolog; </w:t>
            </w:r>
            <w:proofErr w:type="spellStart"/>
            <w:r w:rsidRPr="00E504B7">
              <w:rPr>
                <w:sz w:val="18"/>
                <w:szCs w:val="18"/>
              </w:rPr>
              <w:t>transmembrane</w:t>
            </w:r>
            <w:proofErr w:type="spellEnd"/>
            <w:r w:rsidRPr="00E504B7">
              <w:rPr>
                <w:sz w:val="18"/>
                <w:szCs w:val="18"/>
              </w:rPr>
              <w:t xml:space="preserve"> proteins function to transport fluoxetine across the hypodermal barrier to the inside of the animal, acts on neuromuscular targets to induce muscle contraction. Role in regulation of membrane transport</w:t>
            </w:r>
          </w:p>
        </w:tc>
        <w:tc>
          <w:tcPr>
            <w:tcW w:w="236" w:type="dxa"/>
            <w:shd w:val="clear" w:color="auto" w:fill="auto"/>
          </w:tcPr>
          <w:p w14:paraId="2FED7119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3188720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04B590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810" w:type="dxa"/>
          </w:tcPr>
          <w:p w14:paraId="12B60E1C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6D4815DF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</w:tr>
      <w:tr w:rsidR="00E504B7" w:rsidRPr="00E504B7" w14:paraId="0D573B8B" w14:textId="77777777" w:rsidTr="00E504B7">
        <w:tc>
          <w:tcPr>
            <w:tcW w:w="450" w:type="dxa"/>
            <w:shd w:val="clear" w:color="auto" w:fill="auto"/>
          </w:tcPr>
          <w:p w14:paraId="0B4175F2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2700" w:type="dxa"/>
            <w:shd w:val="clear" w:color="auto" w:fill="auto"/>
          </w:tcPr>
          <w:p w14:paraId="69567CCF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2L</w:t>
            </w:r>
            <w:proofErr w:type="gramStart"/>
            <w:r w:rsidRPr="00E504B7">
              <w:rPr>
                <w:sz w:val="18"/>
                <w:szCs w:val="18"/>
              </w:rPr>
              <w:t>:2,591,869</w:t>
            </w:r>
            <w:proofErr w:type="gramEnd"/>
            <w:r w:rsidRPr="00E504B7">
              <w:rPr>
                <w:sz w:val="18"/>
                <w:szCs w:val="18"/>
              </w:rPr>
              <w:t>..2,592,773 [+]</w:t>
            </w:r>
          </w:p>
        </w:tc>
        <w:tc>
          <w:tcPr>
            <w:tcW w:w="1440" w:type="dxa"/>
            <w:shd w:val="clear" w:color="auto" w:fill="auto"/>
          </w:tcPr>
          <w:p w14:paraId="35FF09DF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FBgn0250835</w:t>
            </w:r>
          </w:p>
        </w:tc>
        <w:tc>
          <w:tcPr>
            <w:tcW w:w="1080" w:type="dxa"/>
            <w:shd w:val="clear" w:color="auto" w:fill="auto"/>
          </w:tcPr>
          <w:p w14:paraId="142A8B21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CG15394</w:t>
            </w:r>
          </w:p>
        </w:tc>
        <w:tc>
          <w:tcPr>
            <w:tcW w:w="5760" w:type="dxa"/>
            <w:shd w:val="clear" w:color="auto" w:fill="auto"/>
          </w:tcPr>
          <w:p w14:paraId="3F281FAB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Unknown </w:t>
            </w:r>
          </w:p>
        </w:tc>
        <w:tc>
          <w:tcPr>
            <w:tcW w:w="236" w:type="dxa"/>
            <w:shd w:val="clear" w:color="auto" w:fill="auto"/>
          </w:tcPr>
          <w:p w14:paraId="0153C32F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0573904F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3D73DCF3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0F028BC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38576F57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</w:tr>
      <w:tr w:rsidR="00E504B7" w:rsidRPr="00E504B7" w14:paraId="6B7878EB" w14:textId="77777777" w:rsidTr="00E504B7">
        <w:tc>
          <w:tcPr>
            <w:tcW w:w="450" w:type="dxa"/>
            <w:shd w:val="clear" w:color="auto" w:fill="auto"/>
          </w:tcPr>
          <w:p w14:paraId="6693FC4A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2700" w:type="dxa"/>
            <w:shd w:val="clear" w:color="auto" w:fill="auto"/>
          </w:tcPr>
          <w:p w14:paraId="564296F2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2L</w:t>
            </w:r>
            <w:proofErr w:type="gramStart"/>
            <w:r w:rsidRPr="00E504B7">
              <w:rPr>
                <w:sz w:val="18"/>
                <w:szCs w:val="18"/>
              </w:rPr>
              <w:t>:7,377,702</w:t>
            </w:r>
            <w:proofErr w:type="gramEnd"/>
            <w:r w:rsidRPr="00E504B7">
              <w:rPr>
                <w:sz w:val="18"/>
                <w:szCs w:val="18"/>
              </w:rPr>
              <w:t>..7,384,344 [+]</w:t>
            </w:r>
          </w:p>
        </w:tc>
        <w:tc>
          <w:tcPr>
            <w:tcW w:w="1440" w:type="dxa"/>
            <w:shd w:val="clear" w:color="auto" w:fill="auto"/>
          </w:tcPr>
          <w:p w14:paraId="53A5A99D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FBgn0002938</w:t>
            </w:r>
          </w:p>
        </w:tc>
        <w:tc>
          <w:tcPr>
            <w:tcW w:w="1080" w:type="dxa"/>
            <w:shd w:val="clear" w:color="auto" w:fill="auto"/>
          </w:tcPr>
          <w:p w14:paraId="1568D4DD" w14:textId="77777777" w:rsidR="00C60FD7" w:rsidRPr="00E504B7" w:rsidRDefault="00C60FD7" w:rsidP="001B1CBB">
            <w:pPr>
              <w:rPr>
                <w:i/>
                <w:sz w:val="18"/>
                <w:szCs w:val="18"/>
              </w:rPr>
            </w:pPr>
            <w:proofErr w:type="spellStart"/>
            <w:r w:rsidRPr="00E504B7">
              <w:rPr>
                <w:i/>
                <w:sz w:val="18"/>
                <w:szCs w:val="18"/>
              </w:rPr>
              <w:t>NinaC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71BADA2E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Serine/threonine-protein kinase; P-loop NTP hydrolase; motor activity</w:t>
            </w:r>
          </w:p>
        </w:tc>
        <w:tc>
          <w:tcPr>
            <w:tcW w:w="236" w:type="dxa"/>
            <w:shd w:val="clear" w:color="auto" w:fill="auto"/>
          </w:tcPr>
          <w:p w14:paraId="285103E2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470EC19A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261C3F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D16548E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5CB6CA37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</w:tr>
      <w:tr w:rsidR="00E504B7" w:rsidRPr="00E504B7" w14:paraId="43107195" w14:textId="77777777" w:rsidTr="00E504B7">
        <w:tc>
          <w:tcPr>
            <w:tcW w:w="450" w:type="dxa"/>
            <w:shd w:val="clear" w:color="auto" w:fill="auto"/>
          </w:tcPr>
          <w:p w14:paraId="07C3C084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4</w:t>
            </w:r>
          </w:p>
        </w:tc>
        <w:tc>
          <w:tcPr>
            <w:tcW w:w="2700" w:type="dxa"/>
            <w:shd w:val="clear" w:color="auto" w:fill="auto"/>
          </w:tcPr>
          <w:p w14:paraId="7BBD4637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2L</w:t>
            </w:r>
            <w:proofErr w:type="gramStart"/>
            <w:r w:rsidRPr="00E504B7">
              <w:rPr>
                <w:sz w:val="18"/>
                <w:szCs w:val="18"/>
              </w:rPr>
              <w:t>:17,481,988</w:t>
            </w:r>
            <w:proofErr w:type="gramEnd"/>
            <w:r w:rsidRPr="00E504B7">
              <w:rPr>
                <w:sz w:val="18"/>
                <w:szCs w:val="18"/>
              </w:rPr>
              <w:t>..17,484,307 [-]</w:t>
            </w:r>
          </w:p>
        </w:tc>
        <w:tc>
          <w:tcPr>
            <w:tcW w:w="1440" w:type="dxa"/>
            <w:shd w:val="clear" w:color="auto" w:fill="auto"/>
          </w:tcPr>
          <w:p w14:paraId="273BAA03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FBgn0032643</w:t>
            </w:r>
          </w:p>
        </w:tc>
        <w:tc>
          <w:tcPr>
            <w:tcW w:w="1080" w:type="dxa"/>
            <w:shd w:val="clear" w:color="auto" w:fill="auto"/>
          </w:tcPr>
          <w:p w14:paraId="36F5FCA6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CG6453</w:t>
            </w:r>
          </w:p>
        </w:tc>
        <w:tc>
          <w:tcPr>
            <w:tcW w:w="5760" w:type="dxa"/>
            <w:shd w:val="clear" w:color="auto" w:fill="auto"/>
          </w:tcPr>
          <w:p w14:paraId="15EA31B1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proofErr w:type="spellStart"/>
            <w:r w:rsidRPr="00E504B7">
              <w:rPr>
                <w:sz w:val="18"/>
                <w:szCs w:val="18"/>
              </w:rPr>
              <w:t>Glucosidase</w:t>
            </w:r>
            <w:proofErr w:type="spellEnd"/>
            <w:r w:rsidRPr="00E504B7">
              <w:rPr>
                <w:sz w:val="18"/>
                <w:szCs w:val="18"/>
              </w:rPr>
              <w:t xml:space="preserve"> 2 subunit beta; Involved in cellular lateral inhibition </w:t>
            </w:r>
          </w:p>
        </w:tc>
        <w:tc>
          <w:tcPr>
            <w:tcW w:w="236" w:type="dxa"/>
            <w:shd w:val="clear" w:color="auto" w:fill="auto"/>
          </w:tcPr>
          <w:p w14:paraId="54810E6B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61304C5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AAFAF7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810" w:type="dxa"/>
          </w:tcPr>
          <w:p w14:paraId="046ACA3F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</w:tcPr>
          <w:p w14:paraId="0FDD97AD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</w:tr>
      <w:tr w:rsidR="00E504B7" w:rsidRPr="00E504B7" w14:paraId="434BCF24" w14:textId="77777777" w:rsidTr="00E504B7">
        <w:tc>
          <w:tcPr>
            <w:tcW w:w="450" w:type="dxa"/>
            <w:shd w:val="clear" w:color="auto" w:fill="auto"/>
          </w:tcPr>
          <w:p w14:paraId="68E241A2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5</w:t>
            </w:r>
          </w:p>
        </w:tc>
        <w:tc>
          <w:tcPr>
            <w:tcW w:w="2700" w:type="dxa"/>
            <w:shd w:val="clear" w:color="auto" w:fill="auto"/>
          </w:tcPr>
          <w:p w14:paraId="4AFCE241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2L</w:t>
            </w:r>
            <w:proofErr w:type="gramStart"/>
            <w:r w:rsidRPr="00E504B7">
              <w:rPr>
                <w:sz w:val="18"/>
                <w:szCs w:val="18"/>
              </w:rPr>
              <w:t>:19,179,749</w:t>
            </w:r>
            <w:proofErr w:type="gramEnd"/>
            <w:r w:rsidRPr="00E504B7">
              <w:rPr>
                <w:sz w:val="18"/>
                <w:szCs w:val="18"/>
              </w:rPr>
              <w:t>..19,181,702 [-]</w:t>
            </w:r>
          </w:p>
        </w:tc>
        <w:tc>
          <w:tcPr>
            <w:tcW w:w="1440" w:type="dxa"/>
            <w:shd w:val="clear" w:color="auto" w:fill="auto"/>
          </w:tcPr>
          <w:p w14:paraId="6280C1DC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FBgn0032763</w:t>
            </w:r>
          </w:p>
        </w:tc>
        <w:tc>
          <w:tcPr>
            <w:tcW w:w="1080" w:type="dxa"/>
            <w:shd w:val="clear" w:color="auto" w:fill="auto"/>
          </w:tcPr>
          <w:p w14:paraId="009A047F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CG17568</w:t>
            </w:r>
          </w:p>
        </w:tc>
        <w:tc>
          <w:tcPr>
            <w:tcW w:w="5760" w:type="dxa"/>
            <w:shd w:val="clear" w:color="auto" w:fill="auto"/>
          </w:tcPr>
          <w:p w14:paraId="2FAB1B02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rStyle w:val="fdmf"/>
                <w:sz w:val="18"/>
                <w:szCs w:val="18"/>
              </w:rPr>
              <w:t xml:space="preserve">Zinc finger (C2H2) domain containing protein; DNA binding; </w:t>
            </w:r>
          </w:p>
        </w:tc>
        <w:tc>
          <w:tcPr>
            <w:tcW w:w="236" w:type="dxa"/>
            <w:shd w:val="clear" w:color="auto" w:fill="auto"/>
          </w:tcPr>
          <w:p w14:paraId="5237EF46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6E323B6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DDE605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5CE0CAE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2CC95843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</w:tr>
      <w:tr w:rsidR="00E504B7" w:rsidRPr="00E504B7" w14:paraId="5B4C7B6F" w14:textId="77777777" w:rsidTr="00E504B7">
        <w:tc>
          <w:tcPr>
            <w:tcW w:w="450" w:type="dxa"/>
            <w:shd w:val="clear" w:color="auto" w:fill="auto"/>
          </w:tcPr>
          <w:p w14:paraId="4E5678E3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5</w:t>
            </w:r>
          </w:p>
        </w:tc>
        <w:tc>
          <w:tcPr>
            <w:tcW w:w="2700" w:type="dxa"/>
            <w:shd w:val="clear" w:color="auto" w:fill="auto"/>
          </w:tcPr>
          <w:p w14:paraId="66686A03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2L</w:t>
            </w:r>
            <w:proofErr w:type="gramStart"/>
            <w:r w:rsidRPr="00E504B7">
              <w:rPr>
                <w:sz w:val="18"/>
                <w:szCs w:val="18"/>
              </w:rPr>
              <w:t>:19,542,468</w:t>
            </w:r>
            <w:proofErr w:type="gramEnd"/>
            <w:r w:rsidRPr="00E504B7">
              <w:rPr>
                <w:sz w:val="18"/>
                <w:szCs w:val="18"/>
              </w:rPr>
              <w:t>..19,545,548 [+]</w:t>
            </w:r>
          </w:p>
        </w:tc>
        <w:tc>
          <w:tcPr>
            <w:tcW w:w="1440" w:type="dxa"/>
            <w:shd w:val="clear" w:color="auto" w:fill="auto"/>
          </w:tcPr>
          <w:p w14:paraId="4EB7F537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FBgn0032763</w:t>
            </w:r>
          </w:p>
        </w:tc>
        <w:tc>
          <w:tcPr>
            <w:tcW w:w="1080" w:type="dxa"/>
            <w:shd w:val="clear" w:color="auto" w:fill="auto"/>
          </w:tcPr>
          <w:p w14:paraId="0247300D" w14:textId="77777777" w:rsidR="00C60FD7" w:rsidRPr="00E504B7" w:rsidRDefault="00C60FD7" w:rsidP="001B1CBB">
            <w:pPr>
              <w:rPr>
                <w:i/>
                <w:sz w:val="18"/>
                <w:szCs w:val="18"/>
              </w:rPr>
            </w:pPr>
            <w:proofErr w:type="gramStart"/>
            <w:r w:rsidRPr="00E504B7">
              <w:rPr>
                <w:i/>
                <w:sz w:val="18"/>
                <w:szCs w:val="18"/>
              </w:rPr>
              <w:t>Ref(</w:t>
            </w:r>
            <w:proofErr w:type="gramEnd"/>
            <w:r w:rsidRPr="00E504B7">
              <w:rPr>
                <w:i/>
                <w:sz w:val="18"/>
                <w:szCs w:val="18"/>
              </w:rPr>
              <w:t>2)P</w:t>
            </w:r>
          </w:p>
        </w:tc>
        <w:tc>
          <w:tcPr>
            <w:tcW w:w="5760" w:type="dxa"/>
            <w:shd w:val="clear" w:color="auto" w:fill="auto"/>
          </w:tcPr>
          <w:p w14:paraId="000B19E0" w14:textId="77777777" w:rsidR="00C60FD7" w:rsidRPr="00E504B7" w:rsidRDefault="00C60FD7" w:rsidP="001B1CBB">
            <w:pPr>
              <w:rPr>
                <w:rStyle w:val="fdmf"/>
                <w:sz w:val="18"/>
                <w:szCs w:val="18"/>
              </w:rPr>
            </w:pPr>
            <w:r w:rsidRPr="00E504B7">
              <w:rPr>
                <w:rStyle w:val="fdmf"/>
                <w:sz w:val="18"/>
                <w:szCs w:val="18"/>
              </w:rPr>
              <w:t xml:space="preserve">Zinc finger ZZ-type (CX2C); </w:t>
            </w:r>
            <w:proofErr w:type="spellStart"/>
            <w:r w:rsidRPr="00E504B7">
              <w:rPr>
                <w:sz w:val="18"/>
                <w:szCs w:val="18"/>
              </w:rPr>
              <w:t>Phox</w:t>
            </w:r>
            <w:proofErr w:type="spellEnd"/>
            <w:r w:rsidRPr="00E504B7">
              <w:rPr>
                <w:sz w:val="18"/>
                <w:szCs w:val="18"/>
              </w:rPr>
              <w:t xml:space="preserve"> and Bem1p domain signaling protein; </w:t>
            </w:r>
          </w:p>
        </w:tc>
        <w:tc>
          <w:tcPr>
            <w:tcW w:w="236" w:type="dxa"/>
            <w:shd w:val="clear" w:color="auto" w:fill="auto"/>
          </w:tcPr>
          <w:p w14:paraId="44EC4DDD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873FD8F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D31D88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220C84B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</w:tcPr>
          <w:p w14:paraId="7EB0AF92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</w:tr>
      <w:tr w:rsidR="00E504B7" w:rsidRPr="00E504B7" w14:paraId="28D830B8" w14:textId="77777777" w:rsidTr="00E504B7">
        <w:tc>
          <w:tcPr>
            <w:tcW w:w="450" w:type="dxa"/>
            <w:shd w:val="clear" w:color="auto" w:fill="auto"/>
          </w:tcPr>
          <w:p w14:paraId="202833DB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6</w:t>
            </w:r>
          </w:p>
        </w:tc>
        <w:tc>
          <w:tcPr>
            <w:tcW w:w="2700" w:type="dxa"/>
            <w:shd w:val="clear" w:color="auto" w:fill="auto"/>
          </w:tcPr>
          <w:p w14:paraId="415A2CEE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2L</w:t>
            </w:r>
            <w:proofErr w:type="gramStart"/>
            <w:r w:rsidRPr="00E504B7">
              <w:rPr>
                <w:sz w:val="18"/>
                <w:szCs w:val="18"/>
              </w:rPr>
              <w:t>:20,350,434</w:t>
            </w:r>
            <w:proofErr w:type="gramEnd"/>
            <w:r w:rsidRPr="00E504B7">
              <w:rPr>
                <w:sz w:val="18"/>
                <w:szCs w:val="18"/>
              </w:rPr>
              <w:t>..20,365,254 [+]</w:t>
            </w:r>
          </w:p>
        </w:tc>
        <w:tc>
          <w:tcPr>
            <w:tcW w:w="1440" w:type="dxa"/>
            <w:shd w:val="clear" w:color="auto" w:fill="auto"/>
          </w:tcPr>
          <w:p w14:paraId="3B7A6E2B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FBgn0015803</w:t>
            </w:r>
          </w:p>
        </w:tc>
        <w:tc>
          <w:tcPr>
            <w:tcW w:w="1080" w:type="dxa"/>
            <w:shd w:val="clear" w:color="auto" w:fill="auto"/>
          </w:tcPr>
          <w:p w14:paraId="62E13AF1" w14:textId="77777777" w:rsidR="00C60FD7" w:rsidRPr="00E504B7" w:rsidRDefault="00C60FD7" w:rsidP="001B1CBB">
            <w:pPr>
              <w:rPr>
                <w:i/>
                <w:sz w:val="18"/>
                <w:szCs w:val="18"/>
              </w:rPr>
            </w:pPr>
            <w:proofErr w:type="spellStart"/>
            <w:r w:rsidRPr="00E504B7">
              <w:rPr>
                <w:i/>
                <w:sz w:val="18"/>
                <w:szCs w:val="18"/>
              </w:rPr>
              <w:t>RtGEF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759F08CA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proofErr w:type="spellStart"/>
            <w:r w:rsidRPr="00E504B7">
              <w:rPr>
                <w:sz w:val="18"/>
                <w:szCs w:val="18"/>
              </w:rPr>
              <w:t>GTPase</w:t>
            </w:r>
            <w:proofErr w:type="spellEnd"/>
            <w:r w:rsidRPr="00E504B7">
              <w:rPr>
                <w:sz w:val="18"/>
                <w:szCs w:val="18"/>
              </w:rPr>
              <w:t xml:space="preserve">; </w:t>
            </w:r>
            <w:proofErr w:type="spellStart"/>
            <w:r w:rsidRPr="00E504B7">
              <w:rPr>
                <w:sz w:val="18"/>
                <w:szCs w:val="18"/>
              </w:rPr>
              <w:t>Dbl</w:t>
            </w:r>
            <w:proofErr w:type="spellEnd"/>
            <w:r w:rsidRPr="00E504B7">
              <w:rPr>
                <w:sz w:val="18"/>
                <w:szCs w:val="18"/>
              </w:rPr>
              <w:t xml:space="preserve"> homology (DH) domain</w:t>
            </w:r>
          </w:p>
        </w:tc>
        <w:tc>
          <w:tcPr>
            <w:tcW w:w="236" w:type="dxa"/>
            <w:shd w:val="clear" w:color="auto" w:fill="auto"/>
          </w:tcPr>
          <w:p w14:paraId="71211408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D0A716B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4ADC8C0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9FB2E0B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042209A2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</w:tr>
      <w:tr w:rsidR="00E504B7" w:rsidRPr="00E504B7" w14:paraId="7E2BF28B" w14:textId="77777777" w:rsidTr="00E504B7">
        <w:tc>
          <w:tcPr>
            <w:tcW w:w="450" w:type="dxa"/>
            <w:shd w:val="clear" w:color="auto" w:fill="auto"/>
          </w:tcPr>
          <w:p w14:paraId="08D1C469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7</w:t>
            </w:r>
          </w:p>
        </w:tc>
        <w:tc>
          <w:tcPr>
            <w:tcW w:w="2700" w:type="dxa"/>
            <w:shd w:val="clear" w:color="auto" w:fill="auto"/>
          </w:tcPr>
          <w:p w14:paraId="7268A125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2L: 21,094,966</w:t>
            </w:r>
            <w:proofErr w:type="gramStart"/>
            <w:r w:rsidRPr="00E504B7">
              <w:rPr>
                <w:sz w:val="18"/>
                <w:szCs w:val="18"/>
              </w:rPr>
              <w:t>..</w:t>
            </w:r>
            <w:proofErr w:type="gramEnd"/>
            <w:r w:rsidRPr="00E504B7">
              <w:rPr>
                <w:sz w:val="18"/>
                <w:szCs w:val="18"/>
              </w:rPr>
              <w:t>21,102,429 [-]</w:t>
            </w:r>
          </w:p>
        </w:tc>
        <w:tc>
          <w:tcPr>
            <w:tcW w:w="1440" w:type="dxa"/>
            <w:shd w:val="clear" w:color="auto" w:fill="auto"/>
          </w:tcPr>
          <w:p w14:paraId="32FB00B4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FBgn0032915</w:t>
            </w:r>
          </w:p>
        </w:tc>
        <w:tc>
          <w:tcPr>
            <w:tcW w:w="1080" w:type="dxa"/>
            <w:shd w:val="clear" w:color="auto" w:fill="auto"/>
          </w:tcPr>
          <w:p w14:paraId="6256C165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CG12050</w:t>
            </w:r>
          </w:p>
        </w:tc>
        <w:tc>
          <w:tcPr>
            <w:tcW w:w="5760" w:type="dxa"/>
            <w:shd w:val="clear" w:color="auto" w:fill="auto"/>
          </w:tcPr>
          <w:p w14:paraId="35462EE3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rStyle w:val="fdmf"/>
                <w:sz w:val="18"/>
                <w:szCs w:val="18"/>
              </w:rPr>
              <w:t>Unknown function; predicted WD40-repeat-containing domain; protein-protein interactions; s</w:t>
            </w:r>
            <w:r w:rsidRPr="00E504B7">
              <w:rPr>
                <w:sz w:val="18"/>
                <w:szCs w:val="18"/>
              </w:rPr>
              <w:t xml:space="preserve">ignal transduction and transcription regulation to cell cycle control and apoptosis; </w:t>
            </w:r>
          </w:p>
        </w:tc>
        <w:tc>
          <w:tcPr>
            <w:tcW w:w="236" w:type="dxa"/>
            <w:shd w:val="clear" w:color="auto" w:fill="auto"/>
          </w:tcPr>
          <w:p w14:paraId="60818338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393E37E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B8B450C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8E4A2E4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</w:tcPr>
          <w:p w14:paraId="2649F440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</w:tr>
      <w:tr w:rsidR="00E504B7" w:rsidRPr="00E504B7" w14:paraId="189D77E5" w14:textId="77777777" w:rsidTr="00E504B7">
        <w:tc>
          <w:tcPr>
            <w:tcW w:w="450" w:type="dxa"/>
            <w:shd w:val="clear" w:color="auto" w:fill="auto"/>
          </w:tcPr>
          <w:p w14:paraId="7704C0A5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7</w:t>
            </w:r>
          </w:p>
        </w:tc>
        <w:tc>
          <w:tcPr>
            <w:tcW w:w="2700" w:type="dxa"/>
            <w:shd w:val="clear" w:color="auto" w:fill="auto"/>
          </w:tcPr>
          <w:p w14:paraId="0C5F676A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2L</w:t>
            </w:r>
            <w:proofErr w:type="gramStart"/>
            <w:r w:rsidRPr="00E504B7">
              <w:rPr>
                <w:sz w:val="18"/>
                <w:szCs w:val="18"/>
              </w:rPr>
              <w:t>:21,221,312</w:t>
            </w:r>
            <w:proofErr w:type="gramEnd"/>
            <w:r w:rsidRPr="00E504B7">
              <w:rPr>
                <w:sz w:val="18"/>
                <w:szCs w:val="18"/>
              </w:rPr>
              <w:t>..21,231,694 [+]</w:t>
            </w:r>
          </w:p>
        </w:tc>
        <w:tc>
          <w:tcPr>
            <w:tcW w:w="1440" w:type="dxa"/>
            <w:shd w:val="clear" w:color="auto" w:fill="auto"/>
          </w:tcPr>
          <w:p w14:paraId="430F0F85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FBgn0026577</w:t>
            </w:r>
          </w:p>
        </w:tc>
        <w:tc>
          <w:tcPr>
            <w:tcW w:w="1080" w:type="dxa"/>
            <w:shd w:val="clear" w:color="auto" w:fill="auto"/>
          </w:tcPr>
          <w:p w14:paraId="33D33C21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CG8677</w:t>
            </w:r>
          </w:p>
        </w:tc>
        <w:tc>
          <w:tcPr>
            <w:tcW w:w="5760" w:type="dxa"/>
            <w:shd w:val="clear" w:color="auto" w:fill="auto"/>
          </w:tcPr>
          <w:p w14:paraId="49B69D86" w14:textId="77777777" w:rsidR="00C60FD7" w:rsidRPr="00E504B7" w:rsidRDefault="00C60FD7" w:rsidP="001B1CBB">
            <w:pPr>
              <w:rPr>
                <w:rStyle w:val="fdmf"/>
                <w:sz w:val="18"/>
                <w:szCs w:val="18"/>
              </w:rPr>
            </w:pPr>
            <w:r w:rsidRPr="00E504B7">
              <w:rPr>
                <w:rStyle w:val="fdmf"/>
                <w:sz w:val="18"/>
                <w:szCs w:val="18"/>
              </w:rPr>
              <w:t>Zn finger PHD-type (</w:t>
            </w:r>
            <w:r w:rsidRPr="00E504B7">
              <w:rPr>
                <w:sz w:val="18"/>
                <w:szCs w:val="18"/>
              </w:rPr>
              <w:t>C4HC3)</w:t>
            </w:r>
            <w:r w:rsidRPr="00E504B7">
              <w:rPr>
                <w:rStyle w:val="fdmf"/>
                <w:sz w:val="18"/>
                <w:szCs w:val="18"/>
              </w:rPr>
              <w:t xml:space="preserve">; </w:t>
            </w:r>
            <w:r w:rsidRPr="00E504B7">
              <w:rPr>
                <w:sz w:val="18"/>
                <w:szCs w:val="18"/>
              </w:rPr>
              <w:t xml:space="preserve">DNA binding </w:t>
            </w:r>
            <w:proofErr w:type="spellStart"/>
            <w:r w:rsidRPr="00E504B7">
              <w:rPr>
                <w:sz w:val="18"/>
                <w:szCs w:val="18"/>
              </w:rPr>
              <w:t>homeobox</w:t>
            </w:r>
            <w:proofErr w:type="spellEnd"/>
            <w:r w:rsidRPr="00E504B7">
              <w:rPr>
                <w:sz w:val="18"/>
                <w:szCs w:val="18"/>
              </w:rPr>
              <w:t xml:space="preserve"> and Transcription factors domain</w:t>
            </w:r>
          </w:p>
        </w:tc>
        <w:tc>
          <w:tcPr>
            <w:tcW w:w="236" w:type="dxa"/>
            <w:shd w:val="clear" w:color="auto" w:fill="auto"/>
          </w:tcPr>
          <w:p w14:paraId="7DC5E7DB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C5CB605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BBFA239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1BF5EB2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25A07B0D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</w:tr>
      <w:tr w:rsidR="00E504B7" w:rsidRPr="00E504B7" w14:paraId="4DBE7435" w14:textId="77777777" w:rsidTr="00E504B7">
        <w:tc>
          <w:tcPr>
            <w:tcW w:w="450" w:type="dxa"/>
            <w:shd w:val="clear" w:color="auto" w:fill="auto"/>
          </w:tcPr>
          <w:p w14:paraId="6C0D5252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7</w:t>
            </w:r>
          </w:p>
        </w:tc>
        <w:tc>
          <w:tcPr>
            <w:tcW w:w="2700" w:type="dxa"/>
            <w:shd w:val="clear" w:color="auto" w:fill="auto"/>
          </w:tcPr>
          <w:p w14:paraId="561C1497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2L</w:t>
            </w:r>
            <w:proofErr w:type="gramStart"/>
            <w:r w:rsidRPr="00E504B7">
              <w:rPr>
                <w:sz w:val="18"/>
                <w:szCs w:val="18"/>
              </w:rPr>
              <w:t>:21,361,216</w:t>
            </w:r>
            <w:proofErr w:type="gramEnd"/>
            <w:r w:rsidRPr="00E504B7">
              <w:rPr>
                <w:sz w:val="18"/>
                <w:szCs w:val="18"/>
              </w:rPr>
              <w:t>..21,367,288 [+]</w:t>
            </w:r>
          </w:p>
        </w:tc>
        <w:tc>
          <w:tcPr>
            <w:tcW w:w="1440" w:type="dxa"/>
            <w:shd w:val="clear" w:color="auto" w:fill="auto"/>
          </w:tcPr>
          <w:p w14:paraId="0E4EC7FD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FBgn0023090</w:t>
            </w:r>
          </w:p>
        </w:tc>
        <w:tc>
          <w:tcPr>
            <w:tcW w:w="1080" w:type="dxa"/>
            <w:shd w:val="clear" w:color="auto" w:fill="auto"/>
          </w:tcPr>
          <w:p w14:paraId="7F5AF44C" w14:textId="77777777" w:rsidR="00C60FD7" w:rsidRPr="00E504B7" w:rsidRDefault="00C60FD7" w:rsidP="001B1CBB">
            <w:pPr>
              <w:rPr>
                <w:i/>
                <w:sz w:val="18"/>
                <w:szCs w:val="18"/>
              </w:rPr>
            </w:pPr>
            <w:proofErr w:type="spellStart"/>
            <w:r w:rsidRPr="00E504B7">
              <w:rPr>
                <w:i/>
                <w:sz w:val="18"/>
                <w:szCs w:val="18"/>
              </w:rPr>
              <w:t>Dtr</w:t>
            </w:r>
            <w:proofErr w:type="spellEnd"/>
            <w:r w:rsidRPr="00E504B7">
              <w:rPr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5760" w:type="dxa"/>
            <w:shd w:val="clear" w:color="auto" w:fill="auto"/>
          </w:tcPr>
          <w:p w14:paraId="5F5AFB13" w14:textId="604569D0" w:rsidR="00C60FD7" w:rsidRPr="00E504B7" w:rsidRDefault="00DF3766" w:rsidP="001B1CBB">
            <w:pPr>
              <w:rPr>
                <w:rStyle w:val="fdmf"/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D</w:t>
            </w:r>
            <w:r w:rsidR="00C60FD7" w:rsidRPr="00E504B7">
              <w:rPr>
                <w:sz w:val="18"/>
                <w:szCs w:val="18"/>
              </w:rPr>
              <w:t>efective transmitter release</w:t>
            </w:r>
          </w:p>
        </w:tc>
        <w:tc>
          <w:tcPr>
            <w:tcW w:w="236" w:type="dxa"/>
            <w:shd w:val="clear" w:color="auto" w:fill="auto"/>
          </w:tcPr>
          <w:p w14:paraId="405EDE4C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282CDA6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F180A15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847AAFD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107759D8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</w:tr>
      <w:tr w:rsidR="00E504B7" w:rsidRPr="00E504B7" w14:paraId="2CAA037D" w14:textId="77777777" w:rsidTr="00E504B7">
        <w:tc>
          <w:tcPr>
            <w:tcW w:w="450" w:type="dxa"/>
            <w:shd w:val="clear" w:color="auto" w:fill="auto"/>
          </w:tcPr>
          <w:p w14:paraId="1E7CECB3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8</w:t>
            </w:r>
          </w:p>
        </w:tc>
        <w:tc>
          <w:tcPr>
            <w:tcW w:w="2700" w:type="dxa"/>
            <w:shd w:val="clear" w:color="auto" w:fill="auto"/>
          </w:tcPr>
          <w:p w14:paraId="39914188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2L</w:t>
            </w:r>
            <w:proofErr w:type="gramStart"/>
            <w:r w:rsidRPr="00E504B7">
              <w:rPr>
                <w:sz w:val="18"/>
                <w:szCs w:val="18"/>
              </w:rPr>
              <w:t>:21,762,314</w:t>
            </w:r>
            <w:proofErr w:type="gramEnd"/>
            <w:r w:rsidRPr="00E504B7">
              <w:rPr>
                <w:sz w:val="18"/>
                <w:szCs w:val="18"/>
              </w:rPr>
              <w:t>..21,795,447 [-]</w:t>
            </w:r>
          </w:p>
        </w:tc>
        <w:tc>
          <w:tcPr>
            <w:tcW w:w="1440" w:type="dxa"/>
            <w:shd w:val="clear" w:color="auto" w:fill="auto"/>
          </w:tcPr>
          <w:p w14:paraId="148BC238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FBgn0051612</w:t>
            </w:r>
          </w:p>
        </w:tc>
        <w:tc>
          <w:tcPr>
            <w:tcW w:w="1080" w:type="dxa"/>
            <w:shd w:val="clear" w:color="auto" w:fill="auto"/>
          </w:tcPr>
          <w:p w14:paraId="50A6A094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CG31612</w:t>
            </w:r>
          </w:p>
        </w:tc>
        <w:tc>
          <w:tcPr>
            <w:tcW w:w="5760" w:type="dxa"/>
            <w:shd w:val="clear" w:color="auto" w:fill="auto"/>
          </w:tcPr>
          <w:p w14:paraId="236B3D7C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rStyle w:val="fdmf"/>
                <w:sz w:val="18"/>
                <w:szCs w:val="18"/>
              </w:rPr>
              <w:t>Zinc finger (C2H2) domain containing protein; DNA binding</w:t>
            </w:r>
          </w:p>
        </w:tc>
        <w:tc>
          <w:tcPr>
            <w:tcW w:w="236" w:type="dxa"/>
            <w:shd w:val="clear" w:color="auto" w:fill="auto"/>
          </w:tcPr>
          <w:p w14:paraId="64229137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D29DCA6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A0294D5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14A8FE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14:paraId="33A3C42F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</w:tr>
      <w:tr w:rsidR="00E504B7" w:rsidRPr="00E504B7" w14:paraId="30D49F5D" w14:textId="77777777" w:rsidTr="00E504B7">
        <w:tc>
          <w:tcPr>
            <w:tcW w:w="450" w:type="dxa"/>
            <w:shd w:val="clear" w:color="auto" w:fill="auto"/>
          </w:tcPr>
          <w:p w14:paraId="11548D4F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 xml:space="preserve">  9</w:t>
            </w:r>
          </w:p>
        </w:tc>
        <w:tc>
          <w:tcPr>
            <w:tcW w:w="2700" w:type="dxa"/>
            <w:shd w:val="clear" w:color="auto" w:fill="auto"/>
          </w:tcPr>
          <w:p w14:paraId="73BDBA55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2R</w:t>
            </w:r>
            <w:proofErr w:type="gramStart"/>
            <w:r w:rsidRPr="00E504B7">
              <w:rPr>
                <w:sz w:val="18"/>
                <w:szCs w:val="18"/>
              </w:rPr>
              <w:t>:3,205,429</w:t>
            </w:r>
            <w:proofErr w:type="gramEnd"/>
            <w:r w:rsidRPr="00E504B7">
              <w:rPr>
                <w:sz w:val="18"/>
                <w:szCs w:val="18"/>
              </w:rPr>
              <w:t>..3,269,404 [-]</w:t>
            </w:r>
          </w:p>
        </w:tc>
        <w:tc>
          <w:tcPr>
            <w:tcW w:w="1440" w:type="dxa"/>
            <w:shd w:val="clear" w:color="auto" w:fill="auto"/>
          </w:tcPr>
          <w:p w14:paraId="50A23647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FBgn0033159</w:t>
            </w:r>
          </w:p>
        </w:tc>
        <w:tc>
          <w:tcPr>
            <w:tcW w:w="1080" w:type="dxa"/>
            <w:shd w:val="clear" w:color="auto" w:fill="auto"/>
          </w:tcPr>
          <w:p w14:paraId="7A09351B" w14:textId="77777777" w:rsidR="00C60FD7" w:rsidRPr="00E504B7" w:rsidRDefault="00C60FD7" w:rsidP="001B1CBB">
            <w:pPr>
              <w:rPr>
                <w:i/>
                <w:sz w:val="18"/>
                <w:szCs w:val="18"/>
              </w:rPr>
            </w:pPr>
            <w:r w:rsidRPr="00E504B7">
              <w:rPr>
                <w:i/>
                <w:sz w:val="18"/>
                <w:szCs w:val="18"/>
              </w:rPr>
              <w:t>Dscam1</w:t>
            </w:r>
          </w:p>
        </w:tc>
        <w:tc>
          <w:tcPr>
            <w:tcW w:w="5760" w:type="dxa"/>
            <w:shd w:val="clear" w:color="auto" w:fill="auto"/>
          </w:tcPr>
          <w:p w14:paraId="4E473B8D" w14:textId="61F939D6" w:rsidR="00C60FD7" w:rsidRPr="00E504B7" w:rsidRDefault="00DF3766" w:rsidP="001B1CBB">
            <w:pPr>
              <w:rPr>
                <w:sz w:val="18"/>
                <w:szCs w:val="18"/>
              </w:rPr>
            </w:pPr>
            <w:r w:rsidRPr="00E504B7">
              <w:rPr>
                <w:rStyle w:val="fdmf"/>
                <w:sz w:val="18"/>
                <w:szCs w:val="18"/>
              </w:rPr>
              <w:t>A</w:t>
            </w:r>
            <w:r w:rsidR="00C60FD7" w:rsidRPr="00E504B7">
              <w:rPr>
                <w:rStyle w:val="fdmf"/>
                <w:sz w:val="18"/>
                <w:szCs w:val="18"/>
              </w:rPr>
              <w:t>xon guidance receptor activity</w:t>
            </w:r>
          </w:p>
        </w:tc>
        <w:tc>
          <w:tcPr>
            <w:tcW w:w="236" w:type="dxa"/>
            <w:shd w:val="clear" w:color="auto" w:fill="auto"/>
          </w:tcPr>
          <w:p w14:paraId="1DC47C0C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15D79A73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B4CE933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09AFE94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</w:tcPr>
          <w:p w14:paraId="75253E51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</w:tr>
      <w:tr w:rsidR="00E504B7" w:rsidRPr="00E504B7" w14:paraId="3FFA282B" w14:textId="77777777" w:rsidTr="00E504B7">
        <w:tc>
          <w:tcPr>
            <w:tcW w:w="450" w:type="dxa"/>
            <w:shd w:val="clear" w:color="auto" w:fill="auto"/>
          </w:tcPr>
          <w:p w14:paraId="67F28907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14:paraId="5E7FAE01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2R</w:t>
            </w:r>
            <w:proofErr w:type="gramStart"/>
            <w:r w:rsidRPr="00E504B7">
              <w:rPr>
                <w:sz w:val="18"/>
                <w:szCs w:val="18"/>
              </w:rPr>
              <w:t>:3,970,481</w:t>
            </w:r>
            <w:proofErr w:type="gramEnd"/>
            <w:r w:rsidRPr="00E504B7">
              <w:rPr>
                <w:sz w:val="18"/>
                <w:szCs w:val="18"/>
              </w:rPr>
              <w:t>..3,974,656 [+]</w:t>
            </w:r>
          </w:p>
        </w:tc>
        <w:tc>
          <w:tcPr>
            <w:tcW w:w="1440" w:type="dxa"/>
            <w:shd w:val="clear" w:color="auto" w:fill="auto"/>
          </w:tcPr>
          <w:p w14:paraId="63433BBF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FBgn0028563</w:t>
            </w:r>
          </w:p>
        </w:tc>
        <w:tc>
          <w:tcPr>
            <w:tcW w:w="1080" w:type="dxa"/>
            <w:shd w:val="clear" w:color="auto" w:fill="auto"/>
          </w:tcPr>
          <w:p w14:paraId="2557F0FF" w14:textId="77777777" w:rsidR="00C60FD7" w:rsidRPr="00E504B7" w:rsidRDefault="00C60FD7" w:rsidP="001B1CBB">
            <w:pPr>
              <w:rPr>
                <w:i/>
                <w:sz w:val="18"/>
                <w:szCs w:val="18"/>
              </w:rPr>
            </w:pPr>
            <w:r w:rsidRPr="00E504B7">
              <w:rPr>
                <w:i/>
                <w:sz w:val="18"/>
                <w:szCs w:val="18"/>
              </w:rPr>
              <w:t>Sut1</w:t>
            </w:r>
          </w:p>
        </w:tc>
        <w:tc>
          <w:tcPr>
            <w:tcW w:w="5760" w:type="dxa"/>
            <w:shd w:val="clear" w:color="auto" w:fill="auto"/>
          </w:tcPr>
          <w:p w14:paraId="39C51B9D" w14:textId="312CA873" w:rsidR="00C60FD7" w:rsidRPr="00E504B7" w:rsidRDefault="00DF3766" w:rsidP="001B1CBB">
            <w:pPr>
              <w:rPr>
                <w:sz w:val="18"/>
                <w:szCs w:val="18"/>
              </w:rPr>
            </w:pPr>
            <w:r w:rsidRPr="00E504B7">
              <w:rPr>
                <w:rStyle w:val="fdmf"/>
                <w:sz w:val="18"/>
                <w:szCs w:val="18"/>
              </w:rPr>
              <w:t>G</w:t>
            </w:r>
            <w:r w:rsidR="00C60FD7" w:rsidRPr="00E504B7">
              <w:rPr>
                <w:rStyle w:val="fdmf"/>
                <w:sz w:val="18"/>
                <w:szCs w:val="18"/>
              </w:rPr>
              <w:t xml:space="preserve">lucose </w:t>
            </w:r>
            <w:proofErr w:type="spellStart"/>
            <w:r w:rsidR="00C60FD7" w:rsidRPr="00E504B7">
              <w:rPr>
                <w:rStyle w:val="fdmf"/>
                <w:sz w:val="18"/>
                <w:szCs w:val="18"/>
              </w:rPr>
              <w:t>transmembrane</w:t>
            </w:r>
            <w:proofErr w:type="spellEnd"/>
            <w:r w:rsidR="00C60FD7" w:rsidRPr="00E504B7">
              <w:rPr>
                <w:rStyle w:val="fdmf"/>
                <w:sz w:val="18"/>
                <w:szCs w:val="18"/>
              </w:rPr>
              <w:t xml:space="preserve"> transporter activity</w:t>
            </w:r>
          </w:p>
        </w:tc>
        <w:tc>
          <w:tcPr>
            <w:tcW w:w="236" w:type="dxa"/>
            <w:shd w:val="clear" w:color="auto" w:fill="auto"/>
          </w:tcPr>
          <w:p w14:paraId="59C1199F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000BC74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74AAA3A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6711EC1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</w:tcPr>
          <w:p w14:paraId="5CB5A7FB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</w:tr>
      <w:tr w:rsidR="00E504B7" w:rsidRPr="00E504B7" w14:paraId="58EF84F0" w14:textId="77777777" w:rsidTr="00E504B7">
        <w:tc>
          <w:tcPr>
            <w:tcW w:w="450" w:type="dxa"/>
            <w:shd w:val="clear" w:color="auto" w:fill="auto"/>
          </w:tcPr>
          <w:p w14:paraId="7AE3C73E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14:paraId="0F5F9C9F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2R</w:t>
            </w:r>
            <w:proofErr w:type="gramStart"/>
            <w:r w:rsidRPr="00E504B7">
              <w:rPr>
                <w:sz w:val="18"/>
                <w:szCs w:val="18"/>
              </w:rPr>
              <w:t>:8,827,828</w:t>
            </w:r>
            <w:proofErr w:type="gramEnd"/>
            <w:r w:rsidRPr="00E504B7">
              <w:rPr>
                <w:sz w:val="18"/>
                <w:szCs w:val="18"/>
              </w:rPr>
              <w:t>..8,833,852 [-]</w:t>
            </w:r>
          </w:p>
        </w:tc>
        <w:tc>
          <w:tcPr>
            <w:tcW w:w="1440" w:type="dxa"/>
            <w:shd w:val="clear" w:color="auto" w:fill="auto"/>
          </w:tcPr>
          <w:p w14:paraId="6208466B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FBgn0004512</w:t>
            </w:r>
          </w:p>
        </w:tc>
        <w:tc>
          <w:tcPr>
            <w:tcW w:w="1080" w:type="dxa"/>
            <w:shd w:val="clear" w:color="auto" w:fill="auto"/>
          </w:tcPr>
          <w:p w14:paraId="72825BB9" w14:textId="1E225FD3" w:rsidR="00C60FD7" w:rsidRPr="00E504B7" w:rsidRDefault="00C60FD7" w:rsidP="001B1CBB">
            <w:pPr>
              <w:rPr>
                <w:i/>
                <w:sz w:val="18"/>
                <w:szCs w:val="18"/>
              </w:rPr>
            </w:pPr>
            <w:r w:rsidRPr="00E504B7">
              <w:rPr>
                <w:i/>
                <w:sz w:val="18"/>
                <w:szCs w:val="18"/>
              </w:rPr>
              <w:t>M</w:t>
            </w:r>
            <w:r w:rsidR="00317C70" w:rsidRPr="00E504B7">
              <w:rPr>
                <w:i/>
                <w:sz w:val="18"/>
                <w:szCs w:val="18"/>
              </w:rPr>
              <w:t>DR</w:t>
            </w:r>
            <w:r w:rsidRPr="00E504B7">
              <w:rPr>
                <w:i/>
                <w:sz w:val="18"/>
                <w:szCs w:val="18"/>
              </w:rPr>
              <w:t>49</w:t>
            </w:r>
          </w:p>
        </w:tc>
        <w:tc>
          <w:tcPr>
            <w:tcW w:w="5760" w:type="dxa"/>
            <w:shd w:val="clear" w:color="auto" w:fill="auto"/>
          </w:tcPr>
          <w:p w14:paraId="0E05B4C8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ACB transporter; P-loop NTP hydrolase</w:t>
            </w:r>
          </w:p>
        </w:tc>
        <w:tc>
          <w:tcPr>
            <w:tcW w:w="236" w:type="dxa"/>
            <w:shd w:val="clear" w:color="auto" w:fill="auto"/>
          </w:tcPr>
          <w:p w14:paraId="0BF517C7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549DECD5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993826B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AFF10F2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</w:tcPr>
          <w:p w14:paraId="6639F817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</w:tr>
      <w:tr w:rsidR="00E504B7" w:rsidRPr="00E504B7" w14:paraId="75F7BFD1" w14:textId="77777777" w:rsidTr="00E504B7">
        <w:tc>
          <w:tcPr>
            <w:tcW w:w="450" w:type="dxa"/>
            <w:shd w:val="clear" w:color="auto" w:fill="auto"/>
          </w:tcPr>
          <w:p w14:paraId="77CBCB51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14:paraId="6043E45A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3R: 2,196,748</w:t>
            </w:r>
            <w:proofErr w:type="gramStart"/>
            <w:r w:rsidRPr="00E504B7">
              <w:rPr>
                <w:sz w:val="18"/>
                <w:szCs w:val="18"/>
              </w:rPr>
              <w:t>..</w:t>
            </w:r>
            <w:proofErr w:type="gramEnd"/>
            <w:r w:rsidRPr="00E504B7">
              <w:rPr>
                <w:sz w:val="18"/>
                <w:szCs w:val="18"/>
              </w:rPr>
              <w:t>2,201,662 [-]</w:t>
            </w:r>
          </w:p>
        </w:tc>
        <w:tc>
          <w:tcPr>
            <w:tcW w:w="1440" w:type="dxa"/>
            <w:shd w:val="clear" w:color="auto" w:fill="auto"/>
          </w:tcPr>
          <w:p w14:paraId="279C2956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FBgn0037440</w:t>
            </w:r>
          </w:p>
        </w:tc>
        <w:tc>
          <w:tcPr>
            <w:tcW w:w="1080" w:type="dxa"/>
            <w:shd w:val="clear" w:color="auto" w:fill="auto"/>
          </w:tcPr>
          <w:p w14:paraId="2CEA9D83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CG1041</w:t>
            </w:r>
          </w:p>
        </w:tc>
        <w:tc>
          <w:tcPr>
            <w:tcW w:w="5760" w:type="dxa"/>
            <w:shd w:val="clear" w:color="auto" w:fill="auto"/>
          </w:tcPr>
          <w:p w14:paraId="3FA97931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proofErr w:type="spellStart"/>
            <w:r w:rsidRPr="00E504B7">
              <w:rPr>
                <w:rStyle w:val="fdmf"/>
                <w:sz w:val="18"/>
                <w:szCs w:val="18"/>
              </w:rPr>
              <w:t>Acyltransferase</w:t>
            </w:r>
            <w:proofErr w:type="spellEnd"/>
            <w:r w:rsidRPr="00E504B7">
              <w:rPr>
                <w:rStyle w:val="fdmf"/>
                <w:sz w:val="18"/>
                <w:szCs w:val="18"/>
              </w:rPr>
              <w:t xml:space="preserve"> </w:t>
            </w:r>
            <w:proofErr w:type="spellStart"/>
            <w:r w:rsidRPr="00E504B7">
              <w:rPr>
                <w:rStyle w:val="fdmf"/>
                <w:sz w:val="18"/>
                <w:szCs w:val="18"/>
              </w:rPr>
              <w:t>ChoActase</w:t>
            </w:r>
            <w:proofErr w:type="spellEnd"/>
            <w:r w:rsidRPr="00E504B7">
              <w:rPr>
                <w:rStyle w:val="fdmf"/>
                <w:sz w:val="18"/>
                <w:szCs w:val="18"/>
              </w:rPr>
              <w:t>/COT/CPT</w:t>
            </w:r>
          </w:p>
        </w:tc>
        <w:tc>
          <w:tcPr>
            <w:tcW w:w="236" w:type="dxa"/>
            <w:shd w:val="clear" w:color="auto" w:fill="auto"/>
          </w:tcPr>
          <w:p w14:paraId="639B1508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4F82B1A4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E5C355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837D28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</w:tcPr>
          <w:p w14:paraId="4F6522E0" w14:textId="77777777" w:rsidR="00C60FD7" w:rsidRPr="00E504B7" w:rsidRDefault="00C60FD7" w:rsidP="001B1CBB">
            <w:pPr>
              <w:jc w:val="center"/>
              <w:rPr>
                <w:sz w:val="18"/>
                <w:szCs w:val="18"/>
              </w:rPr>
            </w:pPr>
          </w:p>
        </w:tc>
      </w:tr>
      <w:tr w:rsidR="00E504B7" w:rsidRPr="00E504B7" w14:paraId="77ABB946" w14:textId="77777777" w:rsidTr="00E504B7"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14:paraId="3C86B56E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14:paraId="16EB0438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3R: 9,663,962</w:t>
            </w:r>
            <w:proofErr w:type="gramStart"/>
            <w:r w:rsidRPr="00E504B7">
              <w:rPr>
                <w:sz w:val="18"/>
                <w:szCs w:val="18"/>
              </w:rPr>
              <w:t>..</w:t>
            </w:r>
            <w:proofErr w:type="gramEnd"/>
            <w:r w:rsidRPr="00E504B7">
              <w:rPr>
                <w:sz w:val="18"/>
                <w:szCs w:val="18"/>
              </w:rPr>
              <w:t>9,665,656 [-]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510DA837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FBgn0051495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14:paraId="13FB37F3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CG31495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auto"/>
          </w:tcPr>
          <w:p w14:paraId="279E2352" w14:textId="77777777" w:rsidR="00C60FD7" w:rsidRPr="00E504B7" w:rsidRDefault="00C60FD7" w:rsidP="001B1CBB">
            <w:pPr>
              <w:rPr>
                <w:sz w:val="18"/>
                <w:szCs w:val="18"/>
              </w:rPr>
            </w:pPr>
            <w:r w:rsidRPr="00E504B7">
              <w:rPr>
                <w:sz w:val="18"/>
                <w:szCs w:val="18"/>
              </w:rPr>
              <w:t>ATPase AAA-type core; P-loop NTP hydrolase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14:paraId="78BDC38C" w14:textId="77777777" w:rsidR="00C60FD7" w:rsidRPr="00E504B7" w:rsidRDefault="00C60FD7" w:rsidP="001B1CB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14:paraId="2303CBFF" w14:textId="77777777" w:rsidR="00C60FD7" w:rsidRPr="00E504B7" w:rsidRDefault="00C60FD7" w:rsidP="001B1CB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3B5AC1C" w14:textId="77777777" w:rsidR="00C60FD7" w:rsidRPr="00E504B7" w:rsidRDefault="00C60FD7" w:rsidP="001B1CB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4B988A09" w14:textId="77777777" w:rsidR="00C60FD7" w:rsidRPr="00E504B7" w:rsidRDefault="00C60FD7" w:rsidP="001B1CB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35F44945" w14:textId="77777777" w:rsidR="00C60FD7" w:rsidRPr="00E504B7" w:rsidRDefault="00C60FD7" w:rsidP="001B1CBB">
            <w:pPr>
              <w:rPr>
                <w:sz w:val="18"/>
                <w:szCs w:val="18"/>
              </w:rPr>
            </w:pPr>
          </w:p>
        </w:tc>
      </w:tr>
    </w:tbl>
    <w:p w14:paraId="11EFB123" w14:textId="77777777" w:rsidR="00C60FD7" w:rsidRDefault="00C60FD7" w:rsidP="00C60FD7">
      <w:pPr>
        <w:rPr>
          <w:sz w:val="16"/>
          <w:szCs w:val="16"/>
        </w:rPr>
      </w:pPr>
    </w:p>
    <w:p w14:paraId="336B4530" w14:textId="77777777" w:rsidR="007C3940" w:rsidRDefault="007C3940" w:rsidP="00C60FD7">
      <w:pPr>
        <w:ind w:right="576"/>
      </w:pPr>
    </w:p>
    <w:sectPr w:rsidR="007C3940" w:rsidSect="00C60FD7">
      <w:pgSz w:w="15840" w:h="12240" w:orient="landscape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04"/>
    <w:rsid w:val="001C223F"/>
    <w:rsid w:val="002F6192"/>
    <w:rsid w:val="00317C70"/>
    <w:rsid w:val="005E3BA7"/>
    <w:rsid w:val="007840D6"/>
    <w:rsid w:val="007C3940"/>
    <w:rsid w:val="009B4777"/>
    <w:rsid w:val="00BC1013"/>
    <w:rsid w:val="00BE7476"/>
    <w:rsid w:val="00C60FD7"/>
    <w:rsid w:val="00CE01AD"/>
    <w:rsid w:val="00DC55DA"/>
    <w:rsid w:val="00DF3766"/>
    <w:rsid w:val="00E504B7"/>
    <w:rsid w:val="00ED13DC"/>
    <w:rsid w:val="00E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406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D7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dmf">
    <w:name w:val="fdmf"/>
    <w:basedOn w:val="DefaultParagraphFont"/>
    <w:rsid w:val="00C60FD7"/>
  </w:style>
  <w:style w:type="paragraph" w:styleId="BalloonText">
    <w:name w:val="Balloon Text"/>
    <w:basedOn w:val="Normal"/>
    <w:link w:val="BalloonTextChar"/>
    <w:uiPriority w:val="99"/>
    <w:semiHidden/>
    <w:unhideWhenUsed/>
    <w:rsid w:val="00DF3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66"/>
    <w:rPr>
      <w:rFonts w:ascii="Lucida Grande" w:eastAsia="MS Mincho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3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7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766"/>
    <w:rPr>
      <w:rFonts w:eastAsia="MS Mincho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766"/>
    <w:rPr>
      <w:rFonts w:eastAsia="MS Mincho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D7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dmf">
    <w:name w:val="fdmf"/>
    <w:basedOn w:val="DefaultParagraphFont"/>
    <w:rsid w:val="00C60FD7"/>
  </w:style>
  <w:style w:type="paragraph" w:styleId="BalloonText">
    <w:name w:val="Balloon Text"/>
    <w:basedOn w:val="Normal"/>
    <w:link w:val="BalloonTextChar"/>
    <w:uiPriority w:val="99"/>
    <w:semiHidden/>
    <w:unhideWhenUsed/>
    <w:rsid w:val="00DF3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66"/>
    <w:rPr>
      <w:rFonts w:ascii="Lucida Grande" w:eastAsia="MS Mincho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3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7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766"/>
    <w:rPr>
      <w:rFonts w:eastAsia="MS Mincho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766"/>
    <w:rPr>
      <w:rFonts w:eastAsia="MS Mincho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2192</Characters>
  <Application>Microsoft Macintosh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dcterms:created xsi:type="dcterms:W3CDTF">2014-07-16T20:25:00Z</dcterms:created>
  <dcterms:modified xsi:type="dcterms:W3CDTF">2014-09-03T00:51:00Z</dcterms:modified>
</cp:coreProperties>
</file>