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C6" w:rsidRPr="00336793" w:rsidRDefault="008E06C6" w:rsidP="008E06C6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E06C6" w:rsidRPr="00336793" w:rsidRDefault="008E06C6" w:rsidP="008E06C6">
      <w:pPr>
        <w:widowControl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proofErr w:type="gramStart"/>
      <w:r w:rsidRPr="00336793">
        <w:rPr>
          <w:rFonts w:ascii="Times New Roman" w:eastAsia="宋体" w:hAnsi="Times New Roman" w:cs="Times New Roman"/>
          <w:b/>
          <w:kern w:val="0"/>
          <w:sz w:val="24"/>
          <w:szCs w:val="24"/>
        </w:rPr>
        <w:t>S2</w:t>
      </w:r>
      <w:r w:rsidRPr="00336793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Pr="00336793">
        <w:rPr>
          <w:rFonts w:ascii="Times New Roman" w:eastAsia="宋体" w:hAnsi="Times New Roman" w:cs="Times New Roman"/>
          <w:b/>
          <w:kern w:val="0"/>
          <w:sz w:val="24"/>
          <w:szCs w:val="24"/>
        </w:rPr>
        <w:t>Table.</w:t>
      </w:r>
      <w:proofErr w:type="gramEnd"/>
      <w:r w:rsidRPr="0033679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proofErr w:type="gramStart"/>
      <w:r w:rsidRPr="0033679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Eight Lung CT Findings during the 96 hours - 5 </w:t>
      </w:r>
      <w:r w:rsidRPr="00336793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d</w:t>
      </w:r>
      <w:r w:rsidRPr="0033679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ays after </w:t>
      </w:r>
      <w:proofErr w:type="spellStart"/>
      <w:r w:rsidRPr="00336793">
        <w:rPr>
          <w:rFonts w:ascii="Times New Roman" w:eastAsia="宋体" w:hAnsi="Times New Roman" w:cs="Times New Roman"/>
          <w:b/>
          <w:kern w:val="0"/>
          <w:sz w:val="24"/>
          <w:szCs w:val="24"/>
        </w:rPr>
        <w:t>paraquat</w:t>
      </w:r>
      <w:proofErr w:type="spellEnd"/>
      <w:r w:rsidRPr="00336793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(PQ) Intoxication.</w:t>
      </w:r>
      <w:proofErr w:type="gramEnd"/>
    </w:p>
    <w:tbl>
      <w:tblPr>
        <w:tblW w:w="51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3228"/>
        <w:gridCol w:w="2130"/>
        <w:gridCol w:w="2267"/>
        <w:gridCol w:w="992"/>
        <w:gridCol w:w="924"/>
      </w:tblGrid>
      <w:tr w:rsidR="008E06C6" w:rsidRPr="00336793" w:rsidTr="008E06C6">
        <w:trPr>
          <w:trHeight w:val="267"/>
        </w:trPr>
        <w:tc>
          <w:tcPr>
            <w:tcW w:w="1692" w:type="pct"/>
            <w:vAlign w:val="center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CT finding</w:t>
            </w:r>
          </w:p>
        </w:tc>
        <w:tc>
          <w:tcPr>
            <w:tcW w:w="1116" w:type="pct"/>
            <w:vAlign w:val="bottom"/>
          </w:tcPr>
          <w:p w:rsidR="008E06C6" w:rsidRPr="00336793" w:rsidRDefault="008E06C6" w:rsidP="008E06C6">
            <w:pPr>
              <w:tabs>
                <w:tab w:val="left" w:pos="1065"/>
              </w:tabs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 xml:space="preserve">  Survivors</w:t>
            </w:r>
            <w:r w:rsidRPr="008E06C6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(</w:t>
            </w:r>
            <w:r w:rsidRPr="00336793">
              <w:rPr>
                <w:rFonts w:ascii="Times New Roman" w:eastAsia="宋体" w:hAnsi="Times New Roman" w:cs="Times New Roman"/>
                <w:b/>
                <w:bCs/>
                <w:i/>
                <w:sz w:val="22"/>
                <w:szCs w:val="24"/>
              </w:rPr>
              <w:t>n=56</w:t>
            </w:r>
            <w:r w:rsidRPr="00336793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1188" w:type="pct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proofErr w:type="spellStart"/>
            <w:r w:rsidRPr="00336793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Nonsurvivors</w:t>
            </w:r>
            <w:proofErr w:type="spellEnd"/>
            <w:r w:rsidRPr="008E06C6">
              <w:rPr>
                <w:rFonts w:ascii="Times New Roman" w:eastAsia="宋体" w:hAnsi="Times New Roman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(</w:t>
            </w:r>
            <w:r w:rsidRPr="00336793">
              <w:rPr>
                <w:rFonts w:ascii="Times New Roman" w:eastAsia="宋体" w:hAnsi="Times New Roman" w:cs="Times New Roman"/>
                <w:b/>
                <w:bCs/>
                <w:i/>
                <w:sz w:val="22"/>
                <w:szCs w:val="24"/>
              </w:rPr>
              <w:t>n=21</w:t>
            </w:r>
            <w:r w:rsidRPr="00336793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)</w:t>
            </w:r>
          </w:p>
        </w:tc>
        <w:tc>
          <w:tcPr>
            <w:tcW w:w="520" w:type="pct"/>
            <w:vAlign w:val="center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/>
                <w:bCs/>
                <w:i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/>
                <w:bCs/>
                <w:i/>
                <w:sz w:val="22"/>
                <w:szCs w:val="24"/>
              </w:rPr>
              <w:t xml:space="preserve">P </w:t>
            </w:r>
            <w:r w:rsidRPr="00336793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value</w:t>
            </w:r>
          </w:p>
        </w:tc>
        <w:tc>
          <w:tcPr>
            <w:tcW w:w="484" w:type="pct"/>
            <w:vAlign w:val="center"/>
          </w:tcPr>
          <w:p w:rsidR="008E06C6" w:rsidRPr="00336793" w:rsidRDefault="008E06C6" w:rsidP="007518FC">
            <w:pPr>
              <w:spacing w:beforeLines="80" w:line="360" w:lineRule="auto"/>
              <w:ind w:leftChars="20" w:left="42" w:firstLineChars="50" w:firstLine="110"/>
              <w:contextualSpacing/>
              <w:mirrorIndents/>
              <w:rPr>
                <w:rFonts w:ascii="Times New Roman" w:eastAsia="宋体" w:hAnsi="Times New Roman" w:cs="Times New Roman"/>
                <w:b/>
                <w:bCs/>
                <w:i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/>
                <w:bCs/>
                <w:i/>
                <w:sz w:val="22"/>
                <w:szCs w:val="24"/>
              </w:rPr>
              <w:t>OR</w:t>
            </w:r>
          </w:p>
        </w:tc>
      </w:tr>
      <w:tr w:rsidR="008E06C6" w:rsidRPr="00336793" w:rsidTr="008E06C6">
        <w:tc>
          <w:tcPr>
            <w:tcW w:w="1692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sz w:val="22"/>
                <w:szCs w:val="24"/>
              </w:rPr>
            </w:pPr>
            <w:bookmarkStart w:id="0" w:name="_Hlk377120602"/>
            <w:r w:rsidRPr="00336793">
              <w:rPr>
                <w:rFonts w:ascii="Times New Roman" w:eastAsia="宋体" w:hAnsi="Times New Roman" w:cs="Times New Roman"/>
                <w:sz w:val="22"/>
                <w:szCs w:val="24"/>
              </w:rPr>
              <w:t>Ground glass opacity (GGO) , %</w:t>
            </w:r>
          </w:p>
        </w:tc>
        <w:tc>
          <w:tcPr>
            <w:tcW w:w="1116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22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(39.3)</w:t>
            </w:r>
          </w:p>
        </w:tc>
        <w:tc>
          <w:tcPr>
            <w:tcW w:w="1188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19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(90.5)</w:t>
            </w:r>
          </w:p>
        </w:tc>
        <w:tc>
          <w:tcPr>
            <w:tcW w:w="520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&lt;</w:t>
            </w:r>
            <w:r>
              <w:rPr>
                <w:rFonts w:ascii="Times New Roman" w:eastAsia="宋体" w:hAnsi="Times New Roman" w:cs="Times New Roman" w:hint="eastAsia"/>
                <w:bCs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0.001</w:t>
            </w:r>
          </w:p>
        </w:tc>
        <w:tc>
          <w:tcPr>
            <w:tcW w:w="484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14.682</w:t>
            </w:r>
          </w:p>
        </w:tc>
      </w:tr>
      <w:tr w:rsidR="008E06C6" w:rsidRPr="00336793" w:rsidTr="008E06C6">
        <w:trPr>
          <w:trHeight w:val="184"/>
        </w:trPr>
        <w:tc>
          <w:tcPr>
            <w:tcW w:w="1692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sz w:val="22"/>
                <w:szCs w:val="24"/>
              </w:rPr>
              <w:t>Consolidation , %</w:t>
            </w:r>
          </w:p>
        </w:tc>
        <w:tc>
          <w:tcPr>
            <w:tcW w:w="1116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(10.7)</w:t>
            </w:r>
          </w:p>
        </w:tc>
        <w:tc>
          <w:tcPr>
            <w:tcW w:w="1188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(33.3)</w:t>
            </w:r>
          </w:p>
        </w:tc>
        <w:tc>
          <w:tcPr>
            <w:tcW w:w="520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 w:firstLineChars="50" w:firstLine="110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0.044</w:t>
            </w:r>
          </w:p>
        </w:tc>
        <w:tc>
          <w:tcPr>
            <w:tcW w:w="484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4.167</w:t>
            </w:r>
          </w:p>
        </w:tc>
      </w:tr>
      <w:tr w:rsidR="008E06C6" w:rsidRPr="00336793" w:rsidTr="008E06C6">
        <w:trPr>
          <w:trHeight w:val="184"/>
        </w:trPr>
        <w:tc>
          <w:tcPr>
            <w:tcW w:w="1692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sz w:val="22"/>
                <w:szCs w:val="24"/>
              </w:rPr>
              <w:t>Pleural thickening, %</w:t>
            </w:r>
          </w:p>
        </w:tc>
        <w:tc>
          <w:tcPr>
            <w:tcW w:w="1116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17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(30.4)</w:t>
            </w:r>
          </w:p>
        </w:tc>
        <w:tc>
          <w:tcPr>
            <w:tcW w:w="1188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(33.3)</w:t>
            </w:r>
          </w:p>
        </w:tc>
        <w:tc>
          <w:tcPr>
            <w:tcW w:w="520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 w:firstLineChars="50" w:firstLine="110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0.802</w:t>
            </w:r>
          </w:p>
        </w:tc>
        <w:tc>
          <w:tcPr>
            <w:tcW w:w="484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1.147</w:t>
            </w:r>
          </w:p>
        </w:tc>
      </w:tr>
      <w:tr w:rsidR="008E06C6" w:rsidRPr="00336793" w:rsidTr="008E06C6">
        <w:trPr>
          <w:trHeight w:val="184"/>
        </w:trPr>
        <w:tc>
          <w:tcPr>
            <w:tcW w:w="1692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sz w:val="22"/>
                <w:szCs w:val="24"/>
              </w:rPr>
              <w:t>Hydrothorax , %</w:t>
            </w:r>
          </w:p>
        </w:tc>
        <w:tc>
          <w:tcPr>
            <w:tcW w:w="1116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(21.4)</w:t>
            </w:r>
          </w:p>
        </w:tc>
        <w:tc>
          <w:tcPr>
            <w:tcW w:w="1188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(23.8)</w:t>
            </w:r>
          </w:p>
        </w:tc>
        <w:tc>
          <w:tcPr>
            <w:tcW w:w="520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 w:firstLineChars="50" w:firstLine="110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1.000</w:t>
            </w:r>
          </w:p>
        </w:tc>
        <w:tc>
          <w:tcPr>
            <w:tcW w:w="484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1.146</w:t>
            </w:r>
          </w:p>
        </w:tc>
      </w:tr>
      <w:tr w:rsidR="008E06C6" w:rsidRPr="00336793" w:rsidTr="008E06C6">
        <w:tc>
          <w:tcPr>
            <w:tcW w:w="1692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sz w:val="22"/>
                <w:szCs w:val="24"/>
              </w:rPr>
              <w:t>Fibrosis, %</w:t>
            </w:r>
          </w:p>
        </w:tc>
        <w:tc>
          <w:tcPr>
            <w:tcW w:w="1116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(37.5)</w:t>
            </w:r>
          </w:p>
        </w:tc>
        <w:tc>
          <w:tcPr>
            <w:tcW w:w="1188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(23.8)</w:t>
            </w:r>
          </w:p>
        </w:tc>
        <w:tc>
          <w:tcPr>
            <w:tcW w:w="520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 w:firstLineChars="50" w:firstLine="110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0.256</w:t>
            </w:r>
          </w:p>
        </w:tc>
        <w:tc>
          <w:tcPr>
            <w:tcW w:w="484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0.521</w:t>
            </w:r>
          </w:p>
        </w:tc>
      </w:tr>
      <w:tr w:rsidR="008E06C6" w:rsidRPr="00336793" w:rsidTr="008E06C6">
        <w:tc>
          <w:tcPr>
            <w:tcW w:w="1692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sz w:val="22"/>
                <w:szCs w:val="24"/>
              </w:rPr>
            </w:pPr>
            <w:proofErr w:type="spellStart"/>
            <w:r w:rsidRPr="00336793">
              <w:rPr>
                <w:rFonts w:ascii="Times New Roman" w:eastAsia="宋体" w:hAnsi="Times New Roman" w:cs="Times New Roman"/>
                <w:sz w:val="22"/>
                <w:szCs w:val="24"/>
              </w:rPr>
              <w:t>Pneumomediastinum</w:t>
            </w:r>
            <w:proofErr w:type="spellEnd"/>
            <w:r w:rsidRPr="00336793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 , %</w:t>
            </w:r>
          </w:p>
        </w:tc>
        <w:tc>
          <w:tcPr>
            <w:tcW w:w="1116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(1.8)</w:t>
            </w:r>
          </w:p>
        </w:tc>
        <w:tc>
          <w:tcPr>
            <w:tcW w:w="1188" w:type="pct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(9.5)</w:t>
            </w:r>
          </w:p>
        </w:tc>
        <w:tc>
          <w:tcPr>
            <w:tcW w:w="520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 w:firstLineChars="50" w:firstLine="110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0.121</w:t>
            </w:r>
          </w:p>
        </w:tc>
        <w:tc>
          <w:tcPr>
            <w:tcW w:w="484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5.789</w:t>
            </w:r>
          </w:p>
        </w:tc>
      </w:tr>
      <w:tr w:rsidR="008E06C6" w:rsidRPr="00336793" w:rsidTr="008E06C6">
        <w:tc>
          <w:tcPr>
            <w:tcW w:w="1692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sz w:val="22"/>
                <w:szCs w:val="24"/>
              </w:rPr>
              <w:t>Nodule, %</w:t>
            </w:r>
          </w:p>
        </w:tc>
        <w:tc>
          <w:tcPr>
            <w:tcW w:w="1116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(17.9)</w:t>
            </w:r>
          </w:p>
        </w:tc>
        <w:tc>
          <w:tcPr>
            <w:tcW w:w="1188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(4.8)</w:t>
            </w:r>
          </w:p>
        </w:tc>
        <w:tc>
          <w:tcPr>
            <w:tcW w:w="520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 w:firstLineChars="50" w:firstLine="110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0.273</w:t>
            </w:r>
          </w:p>
        </w:tc>
        <w:tc>
          <w:tcPr>
            <w:tcW w:w="484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0.230</w:t>
            </w:r>
          </w:p>
        </w:tc>
      </w:tr>
      <w:tr w:rsidR="008E06C6" w:rsidRPr="00336793" w:rsidTr="008E06C6">
        <w:tc>
          <w:tcPr>
            <w:tcW w:w="1692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sz w:val="22"/>
                <w:szCs w:val="24"/>
              </w:rPr>
              <w:t>“No obvious lesion” , %</w:t>
            </w:r>
          </w:p>
        </w:tc>
        <w:tc>
          <w:tcPr>
            <w:tcW w:w="1116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19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(33.9)</w:t>
            </w:r>
          </w:p>
        </w:tc>
        <w:tc>
          <w:tcPr>
            <w:tcW w:w="1188" w:type="pct"/>
            <w:vAlign w:val="center"/>
          </w:tcPr>
          <w:p w:rsidR="008E06C6" w:rsidRPr="00336793" w:rsidRDefault="008E06C6" w:rsidP="008E06C6">
            <w:pPr>
              <w:spacing w:beforeLines="80" w:line="360" w:lineRule="auto"/>
              <w:ind w:leftChars="20" w:left="42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4"/>
              </w:rPr>
              <w:t xml:space="preserve"> </w:t>
            </w:r>
            <w:r w:rsidRPr="00336793">
              <w:rPr>
                <w:rFonts w:ascii="Times New Roman" w:eastAsia="宋体" w:hAnsi="Times New Roman" w:cs="Times New Roman"/>
                <w:color w:val="000000"/>
                <w:sz w:val="22"/>
                <w:szCs w:val="24"/>
              </w:rPr>
              <w:t>(4.8)</w:t>
            </w:r>
          </w:p>
        </w:tc>
        <w:tc>
          <w:tcPr>
            <w:tcW w:w="520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 w:firstLineChars="50" w:firstLine="110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0.009</w:t>
            </w:r>
          </w:p>
        </w:tc>
        <w:tc>
          <w:tcPr>
            <w:tcW w:w="484" w:type="pct"/>
          </w:tcPr>
          <w:p w:rsidR="008E06C6" w:rsidRPr="00336793" w:rsidRDefault="008E06C6" w:rsidP="007518FC">
            <w:pPr>
              <w:spacing w:beforeLines="80" w:line="360" w:lineRule="auto"/>
              <w:ind w:leftChars="20" w:left="42"/>
              <w:contextualSpacing/>
              <w:mirrorIndents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336793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0.097</w:t>
            </w:r>
          </w:p>
        </w:tc>
      </w:tr>
      <w:bookmarkEnd w:id="0"/>
    </w:tbl>
    <w:p w:rsidR="008E06C6" w:rsidRPr="00336793" w:rsidRDefault="008E06C6" w:rsidP="008E06C6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E06C6" w:rsidRPr="00336793" w:rsidRDefault="008E06C6" w:rsidP="008E06C6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</w:pPr>
      <w:r w:rsidRPr="00336793">
        <w:rPr>
          <w:rFonts w:ascii="Times New Roman" w:eastAsia="宋体" w:hAnsi="Times New Roman" w:cs="Times New Roman"/>
          <w:i/>
          <w:color w:val="000000"/>
          <w:kern w:val="0"/>
          <w:sz w:val="22"/>
          <w:szCs w:val="24"/>
        </w:rPr>
        <w:t>Definition of abbreviations</w:t>
      </w:r>
      <w:r w:rsidRPr="00336793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 xml:space="preserve">: PQ = </w:t>
      </w:r>
      <w:proofErr w:type="spellStart"/>
      <w:r w:rsidRPr="00336793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paraquat</w:t>
      </w:r>
      <w:proofErr w:type="spellEnd"/>
      <w:r w:rsidRPr="00336793">
        <w:rPr>
          <w:rFonts w:ascii="Times New Roman" w:eastAsia="宋体" w:hAnsi="Times New Roman" w:cs="Times New Roman" w:hint="eastAsia"/>
          <w:color w:val="000000"/>
          <w:kern w:val="0"/>
          <w:sz w:val="22"/>
          <w:szCs w:val="24"/>
        </w:rPr>
        <w:t xml:space="preserve">; </w:t>
      </w:r>
      <w:r w:rsidRPr="00336793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OR</w:t>
      </w:r>
      <w:r w:rsidRPr="00336793">
        <w:rPr>
          <w:rFonts w:ascii="Times New Roman" w:eastAsia="宋体" w:hAnsi="Times New Roman" w:cs="Times New Roman" w:hint="eastAsia"/>
          <w:color w:val="000000"/>
          <w:kern w:val="0"/>
          <w:sz w:val="22"/>
          <w:szCs w:val="24"/>
        </w:rPr>
        <w:t xml:space="preserve"> </w:t>
      </w:r>
      <w:r w:rsidRPr="00336793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=</w:t>
      </w:r>
      <w:r w:rsidRPr="00336793">
        <w:rPr>
          <w:rFonts w:ascii="Times New Roman" w:eastAsia="宋体" w:hAnsi="Times New Roman" w:cs="Times New Roman" w:hint="eastAsia"/>
          <w:color w:val="000000"/>
          <w:kern w:val="0"/>
          <w:sz w:val="22"/>
          <w:szCs w:val="24"/>
        </w:rPr>
        <w:t xml:space="preserve"> </w:t>
      </w:r>
      <w:r w:rsidRPr="00336793">
        <w:rPr>
          <w:rFonts w:ascii="Times New Roman" w:eastAsia="宋体" w:hAnsi="Times New Roman" w:cs="Times New Roman"/>
          <w:color w:val="000000"/>
          <w:kern w:val="0"/>
          <w:sz w:val="22"/>
          <w:szCs w:val="24"/>
        </w:rPr>
        <w:t>odds ratio.</w:t>
      </w:r>
    </w:p>
    <w:p w:rsidR="008E06C6" w:rsidRPr="00336793" w:rsidRDefault="008E06C6" w:rsidP="008E06C6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E06C6" w:rsidRDefault="008E06C6" w:rsidP="008E06C6"/>
    <w:p w:rsidR="00AF2446" w:rsidRDefault="00AF2446"/>
    <w:sectPr w:rsidR="00AF2446" w:rsidSect="00DD6E6D">
      <w:headerReference w:type="default" r:id="rId4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D9" w:rsidRDefault="008E06C6" w:rsidP="00596723">
    <w:pPr>
      <w:pStyle w:val="1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6C6"/>
    <w:rsid w:val="008E06C6"/>
    <w:rsid w:val="00A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眉1"/>
    <w:basedOn w:val="a"/>
    <w:next w:val="a3"/>
    <w:link w:val="Char"/>
    <w:uiPriority w:val="99"/>
    <w:rsid w:val="008E06C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/>
      <w:color w:val="000000"/>
      <w:sz w:val="18"/>
      <w:szCs w:val="18"/>
      <w:lang w:eastAsia="en-US"/>
    </w:rPr>
  </w:style>
  <w:style w:type="character" w:customStyle="1" w:styleId="Char">
    <w:name w:val="页眉 Char"/>
    <w:basedOn w:val="a0"/>
    <w:link w:val="1"/>
    <w:uiPriority w:val="99"/>
    <w:rsid w:val="008E06C6"/>
    <w:rPr>
      <w:rFonts w:ascii="宋体"/>
      <w:color w:val="000000"/>
      <w:sz w:val="18"/>
      <w:szCs w:val="18"/>
      <w:lang w:eastAsia="en-US"/>
    </w:rPr>
  </w:style>
  <w:style w:type="paragraph" w:styleId="a3">
    <w:name w:val="header"/>
    <w:basedOn w:val="a"/>
    <w:link w:val="Char1"/>
    <w:uiPriority w:val="99"/>
    <w:semiHidden/>
    <w:unhideWhenUsed/>
    <w:rsid w:val="008E0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8E06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kangxin</dc:creator>
  <cp:lastModifiedBy>kangxin</cp:lastModifiedBy>
  <cp:revision>1</cp:revision>
  <dcterms:created xsi:type="dcterms:W3CDTF">2015-02-23T05:52:00Z</dcterms:created>
  <dcterms:modified xsi:type="dcterms:W3CDTF">2015-02-23T06:06:00Z</dcterms:modified>
</cp:coreProperties>
</file>