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5C" w:rsidRPr="00B177C5" w:rsidRDefault="009E53E5" w:rsidP="009269F3">
      <w:pPr>
        <w:spacing w:after="360"/>
        <w:jc w:val="center"/>
        <w:rPr>
          <w:rFonts w:ascii="Times New Roman" w:hAnsi="Times New Roman"/>
          <w:b/>
          <w:sz w:val="24"/>
          <w:szCs w:val="24"/>
          <w:u w:val="single"/>
        </w:rPr>
      </w:pPr>
      <w:r w:rsidRPr="00B177C5">
        <w:rPr>
          <w:rFonts w:ascii="Times New Roman" w:hAnsi="Times New Roman"/>
          <w:b/>
          <w:sz w:val="24"/>
          <w:szCs w:val="24"/>
          <w:u w:val="single"/>
        </w:rPr>
        <w:t>Appendix S</w:t>
      </w:r>
      <w:r w:rsidR="00BC6B28">
        <w:rPr>
          <w:rFonts w:ascii="Times New Roman" w:hAnsi="Times New Roman"/>
          <w:b/>
          <w:sz w:val="24"/>
          <w:szCs w:val="24"/>
          <w:u w:val="single"/>
        </w:rPr>
        <w:t>4</w:t>
      </w:r>
      <w:r w:rsidRPr="00B177C5">
        <w:rPr>
          <w:rFonts w:ascii="Times New Roman" w:hAnsi="Times New Roman"/>
          <w:b/>
          <w:sz w:val="24"/>
          <w:szCs w:val="24"/>
          <w:u w:val="single"/>
        </w:rPr>
        <w:t xml:space="preserve"> </w:t>
      </w:r>
      <w:r w:rsidR="00BC6B28">
        <w:rPr>
          <w:rFonts w:ascii="Times New Roman" w:hAnsi="Times New Roman"/>
          <w:b/>
          <w:sz w:val="24"/>
          <w:szCs w:val="24"/>
          <w:u w:val="single"/>
        </w:rPr>
        <w:t>–</w:t>
      </w:r>
      <w:r w:rsidRPr="00B177C5">
        <w:rPr>
          <w:rFonts w:ascii="Times New Roman" w:hAnsi="Times New Roman"/>
          <w:b/>
          <w:sz w:val="24"/>
          <w:szCs w:val="24"/>
          <w:u w:val="single"/>
        </w:rPr>
        <w:t xml:space="preserve"> </w:t>
      </w:r>
      <w:r w:rsidR="00BC6B28">
        <w:rPr>
          <w:rFonts w:ascii="Times New Roman" w:hAnsi="Times New Roman"/>
          <w:b/>
          <w:sz w:val="24"/>
          <w:szCs w:val="24"/>
          <w:u w:val="single"/>
        </w:rPr>
        <w:t>Effects of noise contamination</w:t>
      </w:r>
    </w:p>
    <w:p w:rsidR="00BC6B28" w:rsidRPr="00BC6B28" w:rsidRDefault="00BC6B28" w:rsidP="00BC6B28">
      <w:pPr>
        <w:spacing w:after="200"/>
        <w:jc w:val="both"/>
        <w:rPr>
          <w:rFonts w:ascii="Times New Roman" w:hAnsi="Times New Roman"/>
          <w:sz w:val="24"/>
          <w:szCs w:val="24"/>
        </w:rPr>
      </w:pPr>
      <w:r w:rsidRPr="00BC6B28">
        <w:rPr>
          <w:rFonts w:ascii="Times New Roman" w:hAnsi="Times New Roman"/>
          <w:sz w:val="24"/>
          <w:szCs w:val="24"/>
        </w:rPr>
        <w:t xml:space="preserve">For many subjects, the sensor signals appear to be contaminated with additional narrow-band noise whose origin is unclear. This noise usually appears at narrow intervals near 21 and 34 Hz and occasionally also at other frequencies. It becomes visible in the spectra if the signals are Fourier-transformed over </w:t>
      </w:r>
      <w:r>
        <w:rPr>
          <w:rFonts w:ascii="Times New Roman" w:hAnsi="Times New Roman"/>
          <w:sz w:val="24"/>
          <w:szCs w:val="24"/>
        </w:rPr>
        <w:t xml:space="preserve">very long </w:t>
      </w:r>
      <w:r w:rsidRPr="00BC6B28">
        <w:rPr>
          <w:rFonts w:ascii="Times New Roman" w:hAnsi="Times New Roman"/>
          <w:sz w:val="24"/>
          <w:szCs w:val="24"/>
        </w:rPr>
        <w:t>time window</w:t>
      </w:r>
      <w:r>
        <w:rPr>
          <w:rFonts w:ascii="Times New Roman" w:hAnsi="Times New Roman"/>
          <w:sz w:val="24"/>
          <w:szCs w:val="24"/>
        </w:rPr>
        <w:t>s</w:t>
      </w:r>
      <w:r w:rsidRPr="00BC6B28">
        <w:rPr>
          <w:rFonts w:ascii="Times New Roman" w:hAnsi="Times New Roman"/>
          <w:sz w:val="24"/>
          <w:szCs w:val="24"/>
        </w:rPr>
        <w:t xml:space="preserve"> in order to obtain the necessary frequency resolution. Further examination has indicated that the noise might be associated with specific sensors in the MEG helmet; however, this is not completely</w:t>
      </w:r>
      <w:r>
        <w:rPr>
          <w:rFonts w:ascii="Times New Roman" w:hAnsi="Times New Roman"/>
          <w:sz w:val="24"/>
          <w:szCs w:val="24"/>
        </w:rPr>
        <w:t xml:space="preserve"> clear</w:t>
      </w:r>
      <w:r w:rsidRPr="00BC6B28">
        <w:rPr>
          <w:rFonts w:ascii="Times New Roman" w:hAnsi="Times New Roman"/>
          <w:sz w:val="24"/>
          <w:szCs w:val="24"/>
        </w:rPr>
        <w:t>.</w:t>
      </w:r>
    </w:p>
    <w:p w:rsidR="00F6571F" w:rsidRDefault="00BC6B28" w:rsidP="00BC6B28">
      <w:pPr>
        <w:spacing w:after="200"/>
        <w:jc w:val="both"/>
        <w:rPr>
          <w:rFonts w:ascii="Times New Roman" w:hAnsi="Times New Roman"/>
          <w:sz w:val="24"/>
          <w:szCs w:val="24"/>
        </w:rPr>
      </w:pPr>
      <w:r w:rsidRPr="00BC6B28">
        <w:rPr>
          <w:rFonts w:ascii="Times New Roman" w:hAnsi="Times New Roman"/>
          <w:sz w:val="24"/>
          <w:szCs w:val="24"/>
        </w:rPr>
        <w:t>As it was feared that thi</w:t>
      </w:r>
      <w:r>
        <w:rPr>
          <w:rFonts w:ascii="Times New Roman" w:hAnsi="Times New Roman"/>
          <w:sz w:val="24"/>
          <w:szCs w:val="24"/>
        </w:rPr>
        <w:t>s noise might affect the analyse</w:t>
      </w:r>
      <w:r w:rsidRPr="00BC6B28">
        <w:rPr>
          <w:rFonts w:ascii="Times New Roman" w:hAnsi="Times New Roman"/>
          <w:sz w:val="24"/>
          <w:szCs w:val="24"/>
        </w:rPr>
        <w:t>s, it was eliminated by applying suitably defined narrow band-stop filters. It is clear that the analys</w:t>
      </w:r>
      <w:r>
        <w:rPr>
          <w:rFonts w:ascii="Times New Roman" w:hAnsi="Times New Roman"/>
          <w:sz w:val="24"/>
          <w:szCs w:val="24"/>
        </w:rPr>
        <w:t>es are</w:t>
      </w:r>
      <w:r w:rsidRPr="00BC6B28">
        <w:rPr>
          <w:rFonts w:ascii="Times New Roman" w:hAnsi="Times New Roman"/>
          <w:sz w:val="24"/>
          <w:szCs w:val="24"/>
        </w:rPr>
        <w:t xml:space="preserve"> not valid for frequencies near the filters. </w:t>
      </w:r>
      <w:r>
        <w:rPr>
          <w:rFonts w:ascii="Times New Roman" w:hAnsi="Times New Roman"/>
          <w:sz w:val="24"/>
          <w:szCs w:val="24"/>
        </w:rPr>
        <w:t>In order to assess whether filtering would also affect the results in a wider frequency region,</w:t>
      </w:r>
      <w:r w:rsidRPr="00BC6B28">
        <w:rPr>
          <w:rFonts w:ascii="Times New Roman" w:hAnsi="Times New Roman"/>
          <w:sz w:val="24"/>
          <w:szCs w:val="24"/>
        </w:rPr>
        <w:t xml:space="preserve"> the analyses were rerun using signals for which the additional noise has not been filtered out (</w:t>
      </w:r>
      <w:r>
        <w:rPr>
          <w:rFonts w:ascii="Times New Roman" w:hAnsi="Times New Roman"/>
          <w:sz w:val="24"/>
          <w:szCs w:val="24"/>
        </w:rPr>
        <w:t xml:space="preserve">note that </w:t>
      </w:r>
      <w:r w:rsidRPr="00BC6B28">
        <w:rPr>
          <w:rFonts w:ascii="Times New Roman" w:hAnsi="Times New Roman"/>
          <w:sz w:val="24"/>
          <w:szCs w:val="24"/>
        </w:rPr>
        <w:t xml:space="preserve">a </w:t>
      </w:r>
      <w:proofErr w:type="spellStart"/>
      <w:r w:rsidRPr="00BC6B28">
        <w:rPr>
          <w:rFonts w:ascii="Times New Roman" w:hAnsi="Times New Roman"/>
          <w:sz w:val="24"/>
          <w:szCs w:val="24"/>
        </w:rPr>
        <w:t>bandstop</w:t>
      </w:r>
      <w:proofErr w:type="spellEnd"/>
      <w:r w:rsidRPr="00BC6B28">
        <w:rPr>
          <w:rFonts w:ascii="Times New Roman" w:hAnsi="Times New Roman"/>
          <w:sz w:val="24"/>
          <w:szCs w:val="24"/>
        </w:rPr>
        <w:t xml:space="preserve"> filter around 50 Hz </w:t>
      </w:r>
      <w:r>
        <w:rPr>
          <w:rFonts w:ascii="Times New Roman" w:hAnsi="Times New Roman"/>
          <w:sz w:val="24"/>
          <w:szCs w:val="24"/>
        </w:rPr>
        <w:t>wa</w:t>
      </w:r>
      <w:r w:rsidRPr="00BC6B28">
        <w:rPr>
          <w:rFonts w:ascii="Times New Roman" w:hAnsi="Times New Roman"/>
          <w:sz w:val="24"/>
          <w:szCs w:val="24"/>
        </w:rPr>
        <w:t xml:space="preserve">s still applied to remove line noise which is not eliminated completely by the </w:t>
      </w:r>
      <w:proofErr w:type="spellStart"/>
      <w:r w:rsidRPr="00BC6B28">
        <w:rPr>
          <w:rFonts w:ascii="Times New Roman" w:hAnsi="Times New Roman"/>
          <w:sz w:val="24"/>
          <w:szCs w:val="24"/>
        </w:rPr>
        <w:t>bandpass</w:t>
      </w:r>
      <w:proofErr w:type="spellEnd"/>
      <w:r w:rsidRPr="00BC6B28">
        <w:rPr>
          <w:rFonts w:ascii="Times New Roman" w:hAnsi="Times New Roman"/>
          <w:sz w:val="24"/>
          <w:szCs w:val="24"/>
        </w:rPr>
        <w:t xml:space="preserve"> filter between 0.5 and 48 Hz). Every other processing step was pe</w:t>
      </w:r>
      <w:r>
        <w:rPr>
          <w:rFonts w:ascii="Times New Roman" w:hAnsi="Times New Roman"/>
          <w:sz w:val="24"/>
          <w:szCs w:val="24"/>
        </w:rPr>
        <w:t>r</w:t>
      </w:r>
      <w:r w:rsidRPr="00BC6B28">
        <w:rPr>
          <w:rFonts w:ascii="Times New Roman" w:hAnsi="Times New Roman"/>
          <w:sz w:val="24"/>
          <w:szCs w:val="24"/>
        </w:rPr>
        <w:t xml:space="preserve">formed in exactly the same way as in the analyses reported in the </w:t>
      </w:r>
      <w:r>
        <w:rPr>
          <w:rFonts w:ascii="Times New Roman" w:hAnsi="Times New Roman"/>
          <w:sz w:val="24"/>
          <w:szCs w:val="24"/>
        </w:rPr>
        <w:t xml:space="preserve">main </w:t>
      </w:r>
      <w:r w:rsidRPr="00BC6B28">
        <w:rPr>
          <w:rFonts w:ascii="Times New Roman" w:hAnsi="Times New Roman"/>
          <w:sz w:val="24"/>
          <w:szCs w:val="24"/>
        </w:rPr>
        <w:t>manuscript. The comparison between the results with and without filter allows to assess the effect of the filtering.</w:t>
      </w:r>
    </w:p>
    <w:p w:rsidR="00BC6B28" w:rsidRPr="00B971C5" w:rsidRDefault="00BC6B28" w:rsidP="00BC6B28">
      <w:pPr>
        <w:spacing w:after="200"/>
        <w:jc w:val="both"/>
        <w:rPr>
          <w:rFonts w:ascii="Times New Roman" w:hAnsi="Times New Roman"/>
          <w:b/>
          <w:i/>
          <w:sz w:val="24"/>
          <w:szCs w:val="24"/>
        </w:rPr>
      </w:pPr>
      <w:r w:rsidRPr="00B971C5">
        <w:rPr>
          <w:rFonts w:ascii="Times New Roman" w:hAnsi="Times New Roman"/>
          <w:b/>
          <w:i/>
          <w:sz w:val="24"/>
          <w:szCs w:val="24"/>
        </w:rPr>
        <w:t>Results:</w:t>
      </w:r>
    </w:p>
    <w:p w:rsidR="00BC6B28" w:rsidRDefault="00BC6B28" w:rsidP="00BC6B28">
      <w:pPr>
        <w:spacing w:after="200"/>
        <w:jc w:val="both"/>
        <w:rPr>
          <w:rFonts w:ascii="Times New Roman" w:hAnsi="Times New Roman"/>
          <w:sz w:val="24"/>
          <w:szCs w:val="24"/>
        </w:rPr>
      </w:pPr>
      <w:r w:rsidRPr="00BC6B28">
        <w:rPr>
          <w:rFonts w:ascii="Times New Roman" w:hAnsi="Times New Roman"/>
          <w:sz w:val="24"/>
          <w:szCs w:val="24"/>
        </w:rPr>
        <w:t xml:space="preserve">Results show the comparisons for the various types of power spectra and connectivities considered in </w:t>
      </w:r>
      <w:r w:rsidR="00C6401D">
        <w:rPr>
          <w:rFonts w:ascii="Times New Roman" w:hAnsi="Times New Roman"/>
          <w:sz w:val="24"/>
          <w:szCs w:val="24"/>
        </w:rPr>
        <w:t>the primary analyses (blue/black</w:t>
      </w:r>
      <w:r w:rsidRPr="00BC6B28">
        <w:rPr>
          <w:rFonts w:ascii="Times New Roman" w:hAnsi="Times New Roman"/>
          <w:sz w:val="24"/>
          <w:szCs w:val="24"/>
        </w:rPr>
        <w:t xml:space="preserve">– controls </w:t>
      </w:r>
      <w:r w:rsidR="000C5B8F">
        <w:rPr>
          <w:rFonts w:ascii="Times New Roman" w:hAnsi="Times New Roman"/>
          <w:sz w:val="24"/>
          <w:szCs w:val="24"/>
        </w:rPr>
        <w:t xml:space="preserve">excluding/including noise </w:t>
      </w:r>
      <w:r w:rsidR="000C5B8F" w:rsidRPr="00BC6B28">
        <w:rPr>
          <w:rFonts w:ascii="Times New Roman" w:hAnsi="Times New Roman"/>
          <w:sz w:val="24"/>
          <w:szCs w:val="24"/>
        </w:rPr>
        <w:t>[red/green</w:t>
      </w:r>
      <w:r w:rsidR="000C5B8F">
        <w:rPr>
          <w:rFonts w:ascii="Times New Roman" w:hAnsi="Times New Roman"/>
          <w:sz w:val="24"/>
          <w:szCs w:val="24"/>
        </w:rPr>
        <w:t xml:space="preserve"> for TI</w:t>
      </w:r>
      <w:r w:rsidR="000C5B8F" w:rsidRPr="00BC6B28">
        <w:rPr>
          <w:rFonts w:ascii="Times New Roman" w:hAnsi="Times New Roman"/>
          <w:sz w:val="24"/>
          <w:szCs w:val="24"/>
        </w:rPr>
        <w:t>]</w:t>
      </w:r>
      <w:r w:rsidRPr="00BC6B28">
        <w:rPr>
          <w:rFonts w:ascii="Times New Roman" w:hAnsi="Times New Roman"/>
          <w:sz w:val="24"/>
          <w:szCs w:val="24"/>
        </w:rPr>
        <w:t>), together with the observed t-statistic which are crucial for the cluster-ba</w:t>
      </w:r>
      <w:r w:rsidR="00E5546D">
        <w:rPr>
          <w:rFonts w:ascii="Times New Roman" w:hAnsi="Times New Roman"/>
          <w:sz w:val="24"/>
          <w:szCs w:val="24"/>
        </w:rPr>
        <w:t>sed permutation analysis (solid/</w:t>
      </w:r>
      <w:r w:rsidRPr="00BC6B28">
        <w:rPr>
          <w:rFonts w:ascii="Times New Roman" w:hAnsi="Times New Roman"/>
          <w:sz w:val="24"/>
          <w:szCs w:val="24"/>
        </w:rPr>
        <w:t xml:space="preserve">dashed curves – </w:t>
      </w:r>
      <w:r w:rsidR="000C5B8F">
        <w:rPr>
          <w:rFonts w:ascii="Times New Roman" w:hAnsi="Times New Roman"/>
          <w:sz w:val="24"/>
          <w:szCs w:val="24"/>
        </w:rPr>
        <w:t>excluding</w:t>
      </w:r>
      <w:r w:rsidR="00E5546D">
        <w:rPr>
          <w:rFonts w:ascii="Times New Roman" w:hAnsi="Times New Roman"/>
          <w:sz w:val="24"/>
          <w:szCs w:val="24"/>
        </w:rPr>
        <w:t>/</w:t>
      </w:r>
      <w:bookmarkStart w:id="0" w:name="_GoBack"/>
      <w:bookmarkEnd w:id="0"/>
      <w:r w:rsidR="000C5B8F">
        <w:rPr>
          <w:rFonts w:ascii="Times New Roman" w:hAnsi="Times New Roman"/>
          <w:sz w:val="24"/>
          <w:szCs w:val="24"/>
        </w:rPr>
        <w:t>including noise</w:t>
      </w:r>
      <w:r w:rsidRPr="00BC6B28">
        <w:rPr>
          <w:rFonts w:ascii="Times New Roman" w:hAnsi="Times New Roman"/>
          <w:sz w:val="24"/>
          <w:szCs w:val="24"/>
        </w:rPr>
        <w:t xml:space="preserve">). </w:t>
      </w:r>
    </w:p>
    <w:p w:rsidR="00BC6B28" w:rsidRDefault="00BC6B28" w:rsidP="00BC6B28">
      <w:pPr>
        <w:spacing w:after="200"/>
        <w:jc w:val="both"/>
        <w:rPr>
          <w:rFonts w:ascii="Times New Roman" w:hAnsi="Times New Roman"/>
          <w:i/>
          <w:sz w:val="24"/>
          <w:szCs w:val="24"/>
        </w:rPr>
      </w:pP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t>Power spectrum - Sensory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539653" cy="2636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 All Au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539653" cy="2636520"/>
                    </a:xfrm>
                    <a:prstGeom prst="rect">
                      <a:avLst/>
                    </a:prstGeom>
                    <a:noFill/>
                    <a:ln>
                      <a:noFill/>
                    </a:ln>
                  </pic:spPr>
                </pic:pic>
              </a:graphicData>
            </a:graphic>
          </wp:inline>
        </w:drawing>
      </w:r>
    </w:p>
    <w:p w:rsidR="00BC6B28" w:rsidRPr="00F6571F" w:rsidRDefault="00F6571F" w:rsidP="00BC6B28">
      <w:pPr>
        <w:spacing w:after="200"/>
        <w:jc w:val="both"/>
        <w:rPr>
          <w:rFonts w:ascii="Times New Roman" w:hAnsi="Times New Roman"/>
          <w:sz w:val="24"/>
          <w:szCs w:val="24"/>
        </w:rPr>
      </w:pPr>
      <w:r>
        <w:rPr>
          <w:rFonts w:ascii="Times New Roman" w:hAnsi="Times New Roman"/>
          <w:sz w:val="24"/>
          <w:szCs w:val="24"/>
        </w:rPr>
        <w:br w:type="page"/>
      </w:r>
      <w:r w:rsidR="00BC6B28" w:rsidRPr="00BC6B28">
        <w:rPr>
          <w:rFonts w:ascii="Times New Roman" w:hAnsi="Times New Roman"/>
          <w:i/>
          <w:sz w:val="24"/>
          <w:szCs w:val="24"/>
        </w:rPr>
        <w:lastRenderedPageBreak/>
        <w:t>Power spectrum – global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6030595" cy="28701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tra NonAud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30595" cy="2870176"/>
                    </a:xfrm>
                    <a:prstGeom prst="rect">
                      <a:avLst/>
                    </a:prstGeom>
                    <a:noFill/>
                    <a:ln>
                      <a:noFill/>
                    </a:ln>
                  </pic:spPr>
                </pic:pic>
              </a:graphicData>
            </a:graphic>
          </wp:inline>
        </w:drawing>
      </w:r>
    </w:p>
    <w:p w:rsidR="00BC6B28" w:rsidRDefault="00BC6B28" w:rsidP="00BC6B28">
      <w:pPr>
        <w:spacing w:after="200"/>
        <w:jc w:val="both"/>
        <w:rPr>
          <w:rFonts w:ascii="Times New Roman" w:hAnsi="Times New Roman"/>
          <w:i/>
          <w:sz w:val="24"/>
          <w:szCs w:val="24"/>
        </w:rPr>
      </w:pP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t>Functional connectivity – within ACs:</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6316345" cy="3006175"/>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Conn A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16345" cy="3006175"/>
                    </a:xfrm>
                    <a:prstGeom prst="rect">
                      <a:avLst/>
                    </a:prstGeom>
                    <a:noFill/>
                    <a:ln>
                      <a:noFill/>
                    </a:ln>
                  </pic:spPr>
                </pic:pic>
              </a:graphicData>
            </a:graphic>
          </wp:inline>
        </w:drawing>
      </w:r>
    </w:p>
    <w:p w:rsidR="00BC6B28" w:rsidRPr="00BC6B28" w:rsidRDefault="00BC6B28" w:rsidP="00BC6B28">
      <w:pPr>
        <w:spacing w:after="200"/>
        <w:jc w:val="both"/>
        <w:rPr>
          <w:rFonts w:ascii="Times New Roman" w:hAnsi="Times New Roman"/>
          <w:sz w:val="24"/>
          <w:szCs w:val="24"/>
        </w:rPr>
      </w:pPr>
    </w:p>
    <w:p w:rsidR="00F6571F" w:rsidRDefault="00F6571F" w:rsidP="00BC6B28">
      <w:pPr>
        <w:spacing w:after="200"/>
        <w:jc w:val="both"/>
        <w:rPr>
          <w:rFonts w:ascii="Times New Roman" w:hAnsi="Times New Roman"/>
          <w:i/>
          <w:sz w:val="24"/>
          <w:szCs w:val="24"/>
        </w:rPr>
      </w:pPr>
    </w:p>
    <w:p w:rsidR="00F6571F" w:rsidRDefault="00F6571F" w:rsidP="00BC6B28">
      <w:pPr>
        <w:spacing w:after="200"/>
        <w:jc w:val="both"/>
        <w:rPr>
          <w:rFonts w:ascii="Times New Roman" w:hAnsi="Times New Roman"/>
          <w:i/>
          <w:sz w:val="24"/>
          <w:szCs w:val="24"/>
        </w:rPr>
      </w:pPr>
    </w:p>
    <w:p w:rsidR="00F6571F" w:rsidRDefault="00F6571F" w:rsidP="00BC6B28">
      <w:pPr>
        <w:spacing w:after="200"/>
        <w:jc w:val="both"/>
        <w:rPr>
          <w:rFonts w:ascii="Times New Roman" w:hAnsi="Times New Roman"/>
          <w:i/>
          <w:sz w:val="24"/>
          <w:szCs w:val="24"/>
        </w:rPr>
      </w:pPr>
    </w:p>
    <w:p w:rsidR="00F6571F" w:rsidRDefault="00F6571F" w:rsidP="00BC6B28">
      <w:pPr>
        <w:spacing w:after="200"/>
        <w:jc w:val="both"/>
        <w:rPr>
          <w:rFonts w:ascii="Times New Roman" w:hAnsi="Times New Roman"/>
          <w:i/>
          <w:sz w:val="24"/>
          <w:szCs w:val="24"/>
        </w:rPr>
      </w:pP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lastRenderedPageBreak/>
        <w:t>Functional connectivity – within global components:</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6069965" cy="2888914"/>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cConn - Glob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69965" cy="2888914"/>
                    </a:xfrm>
                    <a:prstGeom prst="rect">
                      <a:avLst/>
                    </a:prstGeom>
                    <a:noFill/>
                    <a:ln>
                      <a:noFill/>
                    </a:ln>
                  </pic:spPr>
                </pic:pic>
              </a:graphicData>
            </a:graphic>
          </wp:inline>
        </w:drawing>
      </w: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t>Functional connectivity – between sensory and global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935345" cy="282484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Conn - Sensory-Globa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5345" cy="2824843"/>
                    </a:xfrm>
                    <a:prstGeom prst="rect">
                      <a:avLst/>
                    </a:prstGeom>
                    <a:noFill/>
                    <a:ln>
                      <a:noFill/>
                    </a:ln>
                  </pic:spPr>
                </pic:pic>
              </a:graphicData>
            </a:graphic>
          </wp:inline>
        </w:drawing>
      </w:r>
    </w:p>
    <w:p w:rsidR="00BC6B28" w:rsidRPr="00BC6B28" w:rsidRDefault="00F6571F" w:rsidP="00BC6B28">
      <w:pPr>
        <w:spacing w:after="200"/>
        <w:jc w:val="both"/>
        <w:rPr>
          <w:rFonts w:ascii="Times New Roman" w:hAnsi="Times New Roman"/>
          <w:i/>
          <w:sz w:val="24"/>
          <w:szCs w:val="24"/>
        </w:rPr>
      </w:pPr>
      <w:r>
        <w:rPr>
          <w:rFonts w:ascii="Times New Roman" w:hAnsi="Times New Roman"/>
          <w:i/>
          <w:sz w:val="24"/>
          <w:szCs w:val="24"/>
        </w:rPr>
        <w:br w:type="page"/>
      </w:r>
      <w:r w:rsidR="00BC6B28" w:rsidRPr="00BC6B28">
        <w:rPr>
          <w:rFonts w:ascii="Times New Roman" w:hAnsi="Times New Roman"/>
          <w:i/>
          <w:sz w:val="24"/>
          <w:szCs w:val="24"/>
        </w:rPr>
        <w:lastRenderedPageBreak/>
        <w:t>PDC – within sensory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667555" cy="269739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C - Sensory"/>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83014" cy="2704749"/>
                    </a:xfrm>
                    <a:prstGeom prst="rect">
                      <a:avLst/>
                    </a:prstGeom>
                    <a:noFill/>
                    <a:ln>
                      <a:noFill/>
                    </a:ln>
                  </pic:spPr>
                </pic:pic>
              </a:graphicData>
            </a:graphic>
          </wp:inline>
        </w:drawing>
      </w: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t>PDC – within global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710687" cy="2717919"/>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C - global"/>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9322" cy="2731548"/>
                    </a:xfrm>
                    <a:prstGeom prst="rect">
                      <a:avLst/>
                    </a:prstGeom>
                    <a:noFill/>
                    <a:ln>
                      <a:noFill/>
                    </a:ln>
                  </pic:spPr>
                </pic:pic>
              </a:graphicData>
            </a:graphic>
          </wp:inline>
        </w:drawing>
      </w:r>
    </w:p>
    <w:p w:rsidR="00BC6B28" w:rsidRPr="00BC6B28" w:rsidRDefault="00F6571F" w:rsidP="00BC6B28">
      <w:pPr>
        <w:spacing w:after="200"/>
        <w:jc w:val="both"/>
        <w:rPr>
          <w:rFonts w:ascii="Times New Roman" w:hAnsi="Times New Roman"/>
          <w:i/>
          <w:sz w:val="24"/>
          <w:szCs w:val="24"/>
        </w:rPr>
      </w:pPr>
      <w:r>
        <w:rPr>
          <w:rFonts w:ascii="Times New Roman" w:hAnsi="Times New Roman"/>
          <w:i/>
          <w:sz w:val="24"/>
          <w:szCs w:val="24"/>
        </w:rPr>
        <w:br w:type="page"/>
      </w:r>
      <w:r w:rsidR="00BC6B28" w:rsidRPr="00BC6B28">
        <w:rPr>
          <w:rFonts w:ascii="Times New Roman" w:hAnsi="Times New Roman"/>
          <w:i/>
          <w:sz w:val="24"/>
          <w:szCs w:val="24"/>
        </w:rPr>
        <w:t>PDC – outflow from sensory to global component:</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733415" cy="272873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C - sensory to globa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42644" cy="2733129"/>
                    </a:xfrm>
                    <a:prstGeom prst="rect">
                      <a:avLst/>
                    </a:prstGeom>
                    <a:noFill/>
                    <a:ln>
                      <a:noFill/>
                    </a:ln>
                  </pic:spPr>
                </pic:pic>
              </a:graphicData>
            </a:graphic>
          </wp:inline>
        </w:drawing>
      </w:r>
    </w:p>
    <w:p w:rsidR="00BC6B28" w:rsidRPr="00BC6B28" w:rsidRDefault="00BC6B28" w:rsidP="00BC6B28">
      <w:pPr>
        <w:spacing w:after="200"/>
        <w:jc w:val="both"/>
        <w:rPr>
          <w:rFonts w:ascii="Times New Roman" w:hAnsi="Times New Roman"/>
          <w:i/>
          <w:sz w:val="24"/>
          <w:szCs w:val="24"/>
        </w:rPr>
      </w:pPr>
      <w:r w:rsidRPr="00BC6B28">
        <w:rPr>
          <w:rFonts w:ascii="Times New Roman" w:hAnsi="Times New Roman"/>
          <w:i/>
          <w:sz w:val="24"/>
          <w:szCs w:val="24"/>
        </w:rPr>
        <w:t>PDC – global to sensory:</w:t>
      </w:r>
    </w:p>
    <w:p w:rsidR="00BC6B28" w:rsidRPr="00BC6B28" w:rsidRDefault="00C75850" w:rsidP="00BC6B28">
      <w:pPr>
        <w:spacing w:after="200"/>
        <w:jc w:val="both"/>
        <w:rPr>
          <w:rFonts w:ascii="Times New Roman" w:hAnsi="Times New Roman"/>
          <w:sz w:val="24"/>
          <w:szCs w:val="24"/>
        </w:rPr>
      </w:pPr>
      <w:r w:rsidRPr="00BC6B28">
        <w:rPr>
          <w:rFonts w:ascii="Times New Roman" w:hAnsi="Times New Roman"/>
          <w:noProof/>
          <w:sz w:val="24"/>
          <w:szCs w:val="24"/>
          <w:lang w:eastAsia="en-GB"/>
        </w:rPr>
        <w:drawing>
          <wp:inline distT="0" distB="0" distL="0" distR="0">
            <wp:extent cx="5733415" cy="272873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C - global to sensory"/>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33415" cy="2728737"/>
                    </a:xfrm>
                    <a:prstGeom prst="rect">
                      <a:avLst/>
                    </a:prstGeom>
                    <a:noFill/>
                    <a:ln>
                      <a:noFill/>
                    </a:ln>
                  </pic:spPr>
                </pic:pic>
              </a:graphicData>
            </a:graphic>
          </wp:inline>
        </w:drawing>
      </w:r>
    </w:p>
    <w:p w:rsidR="00BC6B28" w:rsidRPr="00F6571F" w:rsidRDefault="00BC6B28" w:rsidP="00BC6B28">
      <w:pPr>
        <w:spacing w:after="200"/>
        <w:jc w:val="both"/>
        <w:rPr>
          <w:rFonts w:ascii="Times New Roman" w:hAnsi="Times New Roman"/>
          <w:b/>
          <w:i/>
          <w:sz w:val="24"/>
          <w:szCs w:val="24"/>
        </w:rPr>
      </w:pPr>
      <w:r w:rsidRPr="00F6571F">
        <w:rPr>
          <w:rFonts w:ascii="Times New Roman" w:hAnsi="Times New Roman"/>
          <w:b/>
          <w:i/>
          <w:sz w:val="24"/>
          <w:szCs w:val="24"/>
        </w:rPr>
        <w:t>Conclusion:</w:t>
      </w:r>
    </w:p>
    <w:p w:rsidR="00BC6B28" w:rsidRPr="00BC6B28" w:rsidRDefault="00BC6B28" w:rsidP="00BC6B28">
      <w:pPr>
        <w:spacing w:after="200"/>
        <w:jc w:val="both"/>
        <w:rPr>
          <w:rFonts w:ascii="Times New Roman" w:hAnsi="Times New Roman"/>
          <w:sz w:val="24"/>
          <w:szCs w:val="24"/>
        </w:rPr>
      </w:pPr>
      <w:r w:rsidRPr="00BC6B28">
        <w:rPr>
          <w:rFonts w:ascii="Times New Roman" w:hAnsi="Times New Roman"/>
          <w:sz w:val="24"/>
          <w:szCs w:val="24"/>
        </w:rPr>
        <w:t>Removal of the additional noise does not have an appreciable influence on the results of the primary analyses.</w:t>
      </w:r>
    </w:p>
    <w:p w:rsidR="0010445C" w:rsidRPr="00B177C5" w:rsidRDefault="00BC6B28" w:rsidP="00F6571F">
      <w:pPr>
        <w:spacing w:after="200"/>
        <w:jc w:val="both"/>
        <w:rPr>
          <w:rFonts w:ascii="Times New Roman" w:hAnsi="Times New Roman"/>
          <w:sz w:val="24"/>
          <w:szCs w:val="24"/>
        </w:rPr>
      </w:pPr>
      <w:r w:rsidRPr="00BC6B28">
        <w:rPr>
          <w:rFonts w:ascii="Times New Roman" w:hAnsi="Times New Roman"/>
          <w:sz w:val="24"/>
          <w:szCs w:val="24"/>
        </w:rPr>
        <w:t>For the spectra, the effect of the removal remains strictly confined to the narrow frequency intervals around 21 Hz and 34 Hz where the noise is located. For the connectivities, the effects can indeed be more far-reaching in frequency for some subjects. However, effects are minimal in the delta, theta and alpha bands for the individual subjects, and after group averaging, the differences in the means and the t-statistics (which are crucial for detecting significant differences) are very small at all frequencies.</w:t>
      </w:r>
      <w:r w:rsidR="0047550B">
        <w:rPr>
          <w:rFonts w:ascii="Times New Roman" w:hAnsi="Times New Roman"/>
          <w:sz w:val="24"/>
          <w:szCs w:val="24"/>
        </w:rPr>
        <w:t xml:space="preserve"> </w:t>
      </w:r>
      <w:r w:rsidRPr="00BC6B28">
        <w:rPr>
          <w:rFonts w:ascii="Times New Roman" w:hAnsi="Times New Roman"/>
          <w:sz w:val="24"/>
          <w:szCs w:val="24"/>
        </w:rPr>
        <w:t>It thus does not make any difference whether one uses the data with or without filtering.</w:t>
      </w:r>
    </w:p>
    <w:sectPr w:rsidR="0010445C" w:rsidRPr="00B17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86D5C"/>
    <w:multiLevelType w:val="hybridMultilevel"/>
    <w:tmpl w:val="F3944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d92wevaa2552ye55tyvps2qfw0ped5r0aze&quot;&gt;TinnitusConn2&lt;record-ids&gt;&lt;item&gt;361&lt;/item&gt;&lt;item&gt;392&lt;/item&gt;&lt;/record-ids&gt;&lt;/item&gt;&lt;/Libraries&gt;"/>
  </w:docVars>
  <w:rsids>
    <w:rsidRoot w:val="00792579"/>
    <w:rsid w:val="00014DB7"/>
    <w:rsid w:val="000C5B8F"/>
    <w:rsid w:val="0010445C"/>
    <w:rsid w:val="00133DB0"/>
    <w:rsid w:val="0021045B"/>
    <w:rsid w:val="002C7710"/>
    <w:rsid w:val="0035048B"/>
    <w:rsid w:val="00361741"/>
    <w:rsid w:val="00441E5B"/>
    <w:rsid w:val="0047550B"/>
    <w:rsid w:val="004D01AF"/>
    <w:rsid w:val="00510319"/>
    <w:rsid w:val="00560F77"/>
    <w:rsid w:val="005A7984"/>
    <w:rsid w:val="00727F3E"/>
    <w:rsid w:val="00792579"/>
    <w:rsid w:val="0083713B"/>
    <w:rsid w:val="008D6B59"/>
    <w:rsid w:val="009269F3"/>
    <w:rsid w:val="009E53E5"/>
    <w:rsid w:val="00B14200"/>
    <w:rsid w:val="00B177C5"/>
    <w:rsid w:val="00B971C5"/>
    <w:rsid w:val="00B9763E"/>
    <w:rsid w:val="00B978F7"/>
    <w:rsid w:val="00BC6B28"/>
    <w:rsid w:val="00C6401D"/>
    <w:rsid w:val="00C75850"/>
    <w:rsid w:val="00CC20E4"/>
    <w:rsid w:val="00DE0CA2"/>
    <w:rsid w:val="00E5546D"/>
    <w:rsid w:val="00E84114"/>
    <w:rsid w:val="00F2149A"/>
    <w:rsid w:val="00F405C2"/>
    <w:rsid w:val="00F6571F"/>
    <w:rsid w:val="00FB55D2"/>
    <w:rsid w:val="00FD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89096-0434-409E-9046-5139D9BD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E53E5"/>
    <w:pPr>
      <w:spacing w:after="0"/>
      <w:jc w:val="center"/>
    </w:pPr>
    <w:rPr>
      <w:noProof/>
      <w:lang w:val="en-US"/>
    </w:rPr>
  </w:style>
  <w:style w:type="character" w:customStyle="1" w:styleId="EndNoteBibliographyTitleChar">
    <w:name w:val="EndNote Bibliography Title Char"/>
    <w:link w:val="EndNoteBibliographyTitle"/>
    <w:rsid w:val="009E53E5"/>
    <w:rPr>
      <w:noProof/>
      <w:sz w:val="22"/>
      <w:szCs w:val="22"/>
      <w:lang w:val="en-US" w:eastAsia="en-US"/>
    </w:rPr>
  </w:style>
  <w:style w:type="paragraph" w:customStyle="1" w:styleId="EndNoteBibliography">
    <w:name w:val="EndNote Bibliography"/>
    <w:basedOn w:val="Normal"/>
    <w:link w:val="EndNoteBibliographyChar"/>
    <w:rsid w:val="009E53E5"/>
    <w:pPr>
      <w:spacing w:line="240" w:lineRule="auto"/>
      <w:jc w:val="both"/>
    </w:pPr>
    <w:rPr>
      <w:noProof/>
      <w:lang w:val="en-US"/>
    </w:rPr>
  </w:style>
  <w:style w:type="character" w:customStyle="1" w:styleId="EndNoteBibliographyChar">
    <w:name w:val="EndNote Bibliography Char"/>
    <w:link w:val="EndNoteBibliography"/>
    <w:rsid w:val="009E53E5"/>
    <w:rPr>
      <w:noProof/>
      <w:sz w:val="22"/>
      <w:szCs w:val="22"/>
      <w:lang w:val="en-US" w:eastAsia="en-US"/>
    </w:rPr>
  </w:style>
  <w:style w:type="character" w:styleId="Hyperlink">
    <w:name w:val="Hyperlink"/>
    <w:uiPriority w:val="99"/>
    <w:unhideWhenUsed/>
    <w:rsid w:val="009E53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Hearing Research</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Zobay</dc:creator>
  <cp:keywords/>
  <dc:description/>
  <cp:lastModifiedBy>Oliver Zobay</cp:lastModifiedBy>
  <cp:revision>3</cp:revision>
  <dcterms:created xsi:type="dcterms:W3CDTF">2015-01-27T09:43:00Z</dcterms:created>
  <dcterms:modified xsi:type="dcterms:W3CDTF">2015-01-27T09:44:00Z</dcterms:modified>
</cp:coreProperties>
</file>