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A" w:rsidRPr="00425B25" w:rsidRDefault="00845CCA" w:rsidP="00845CCA">
      <w:pPr>
        <w:spacing w:line="480" w:lineRule="auto"/>
        <w:ind w:right="-1"/>
        <w:rPr>
          <w:rFonts w:ascii="Times New Roman" w:hAnsi="Times New Roman" w:cs="Times New Roman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Cs w:val="24"/>
          <w:lang w:val="en-US"/>
        </w:rPr>
        <w:t>S</w:t>
      </w:r>
      <w:r w:rsidRPr="00D71F30">
        <w:rPr>
          <w:rFonts w:ascii="Times New Roman" w:hAnsi="Times New Roman" w:cs="Times New Roman"/>
          <w:b/>
          <w:bCs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Cs w:val="24"/>
          <w:lang w:val="en-US"/>
        </w:rPr>
        <w:t xml:space="preserve"> Table.</w:t>
      </w:r>
      <w:proofErr w:type="gramEnd"/>
      <w:r w:rsidRPr="00425B2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4"/>
          <w:lang w:val="en-US"/>
        </w:rPr>
        <w:t>H</w:t>
      </w:r>
      <w:r w:rsidRPr="00054E2C">
        <w:rPr>
          <w:rFonts w:ascii="Times New Roman" w:hAnsi="Times New Roman" w:cs="Times New Roman"/>
          <w:b/>
          <w:szCs w:val="24"/>
          <w:lang w:val="en-US"/>
        </w:rPr>
        <w:t>ornbill ab</w:t>
      </w:r>
      <w:r>
        <w:rPr>
          <w:rFonts w:ascii="Times New Roman" w:hAnsi="Times New Roman" w:cs="Times New Roman"/>
          <w:b/>
          <w:szCs w:val="24"/>
          <w:lang w:val="en-US"/>
        </w:rPr>
        <w:t>undance across disturbance types</w:t>
      </w:r>
      <w:r w:rsidRPr="00054E2C">
        <w:rPr>
          <w:rFonts w:ascii="Times New Roman" w:hAnsi="Times New Roman" w:cs="Times New Roman"/>
          <w:b/>
          <w:szCs w:val="24"/>
          <w:lang w:val="en-US"/>
        </w:rPr>
        <w:t>.</w:t>
      </w:r>
      <w:proofErr w:type="gramEnd"/>
      <w:r w:rsidRPr="00054E2C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gramStart"/>
      <w:r w:rsidRPr="008124BF">
        <w:rPr>
          <w:rFonts w:ascii="Times New Roman" w:hAnsi="Times New Roman" w:cs="Times New Roman"/>
          <w:szCs w:val="24"/>
          <w:lang w:val="en-US"/>
        </w:rPr>
        <w:t>Results from the GLMM with Poisson errors comparing hornbill abundance between Namdapha (with no logging and low hunting pressures) and Miao (with logging and high hunting pressures).</w:t>
      </w:r>
      <w:proofErr w:type="gramEnd"/>
      <w:r w:rsidRPr="008124BF">
        <w:rPr>
          <w:rFonts w:ascii="Times New Roman" w:hAnsi="Times New Roman" w:cs="Times New Roman"/>
          <w:szCs w:val="24"/>
          <w:lang w:val="en-US"/>
        </w:rPr>
        <w:t xml:space="preserve"> Parameter estimates (intercept and contrast)</w:t>
      </w:r>
      <w:proofErr w:type="gramStart"/>
      <w:r w:rsidRPr="008124BF">
        <w:rPr>
          <w:rFonts w:ascii="Times New Roman" w:hAnsi="Times New Roman" w:cs="Times New Roman"/>
          <w:szCs w:val="24"/>
          <w:lang w:val="en-US"/>
        </w:rPr>
        <w:t>,</w:t>
      </w:r>
      <w:proofErr w:type="gramEnd"/>
      <w:r w:rsidRPr="008124BF">
        <w:rPr>
          <w:rFonts w:ascii="Times New Roman" w:hAnsi="Times New Roman" w:cs="Times New Roman"/>
          <w:szCs w:val="24"/>
          <w:lang w:val="en-US"/>
        </w:rPr>
        <w:t xml:space="preserve"> standard errors (SE) and hypothesis tests for parameters are shown</w:t>
      </w:r>
      <w:r w:rsidRPr="00425B25">
        <w:rPr>
          <w:rFonts w:ascii="Times New Roman" w:hAnsi="Times New Roman" w:cs="Times New Roman"/>
          <w:szCs w:val="24"/>
          <w:lang w:val="en-US"/>
        </w:rPr>
        <w:t>.</w:t>
      </w: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549"/>
        <w:gridCol w:w="1342"/>
        <w:gridCol w:w="1422"/>
        <w:gridCol w:w="1422"/>
      </w:tblGrid>
      <w:tr w:rsidR="00845CCA" w:rsidRPr="00425B25" w:rsidTr="00874462">
        <w:trPr>
          <w:trHeight w:val="332"/>
        </w:trPr>
        <w:tc>
          <w:tcPr>
            <w:tcW w:w="3078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</w:p>
        </w:tc>
        <w:tc>
          <w:tcPr>
            <w:tcW w:w="1549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Estimate</w:t>
            </w:r>
          </w:p>
        </w:tc>
        <w:tc>
          <w:tcPr>
            <w:tcW w:w="134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SE</w:t>
            </w:r>
          </w:p>
        </w:tc>
        <w:tc>
          <w:tcPr>
            <w:tcW w:w="142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z</w:t>
            </w:r>
          </w:p>
        </w:tc>
        <w:tc>
          <w:tcPr>
            <w:tcW w:w="142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p</w:t>
            </w:r>
          </w:p>
        </w:tc>
      </w:tr>
      <w:tr w:rsidR="00845CCA" w:rsidRPr="00425B25" w:rsidTr="00874462">
        <w:trPr>
          <w:trHeight w:val="332"/>
        </w:trPr>
        <w:tc>
          <w:tcPr>
            <w:tcW w:w="3078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Intercept (Site – Namdapha)</w:t>
            </w:r>
          </w:p>
        </w:tc>
        <w:tc>
          <w:tcPr>
            <w:tcW w:w="1549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1.1612</w:t>
            </w:r>
          </w:p>
        </w:tc>
        <w:tc>
          <w:tcPr>
            <w:tcW w:w="134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0.5916</w:t>
            </w:r>
          </w:p>
        </w:tc>
        <w:tc>
          <w:tcPr>
            <w:tcW w:w="142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1.963</w:t>
            </w:r>
          </w:p>
        </w:tc>
        <w:tc>
          <w:tcPr>
            <w:tcW w:w="142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0.049</w:t>
            </w:r>
          </w:p>
        </w:tc>
      </w:tr>
      <w:tr w:rsidR="00845CCA" w:rsidRPr="00425B25" w:rsidTr="00874462">
        <w:trPr>
          <w:trHeight w:val="332"/>
        </w:trPr>
        <w:tc>
          <w:tcPr>
            <w:tcW w:w="3078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 xml:space="preserve">Site – Miao </w:t>
            </w:r>
          </w:p>
        </w:tc>
        <w:tc>
          <w:tcPr>
            <w:tcW w:w="1549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-3.0415</w:t>
            </w:r>
          </w:p>
        </w:tc>
        <w:tc>
          <w:tcPr>
            <w:tcW w:w="134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0.9739</w:t>
            </w:r>
          </w:p>
        </w:tc>
        <w:tc>
          <w:tcPr>
            <w:tcW w:w="142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-3.123</w:t>
            </w:r>
          </w:p>
        </w:tc>
        <w:tc>
          <w:tcPr>
            <w:tcW w:w="1422" w:type="dxa"/>
            <w:noWrap/>
          </w:tcPr>
          <w:p w:rsidR="00845CCA" w:rsidRPr="00425B25" w:rsidRDefault="00845CCA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0.002</w:t>
            </w:r>
          </w:p>
        </w:tc>
      </w:tr>
    </w:tbl>
    <w:p w:rsidR="00845CCA" w:rsidRPr="00425B25" w:rsidRDefault="00845CCA" w:rsidP="00845CCA">
      <w:pPr>
        <w:spacing w:line="480" w:lineRule="auto"/>
        <w:ind w:right="-1"/>
        <w:rPr>
          <w:rFonts w:ascii="Times New Roman" w:hAnsi="Times New Roman" w:cs="Times New Roman"/>
          <w:szCs w:val="24"/>
          <w:lang w:val="en-US"/>
        </w:rPr>
      </w:pPr>
      <w:r w:rsidRPr="00425B25">
        <w:rPr>
          <w:rFonts w:ascii="Times New Roman" w:hAnsi="Times New Roman" w:cs="Times New Roman"/>
          <w:szCs w:val="24"/>
          <w:lang w:val="en-US"/>
        </w:rPr>
        <w:br w:type="page"/>
      </w:r>
    </w:p>
    <w:p w:rsidR="00901205" w:rsidRDefault="00901205">
      <w:bookmarkStart w:id="0" w:name="_GoBack"/>
      <w:bookmarkEnd w:id="0"/>
    </w:p>
    <w:sectPr w:rsidR="0090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CA"/>
    <w:rsid w:val="00044158"/>
    <w:rsid w:val="0005364F"/>
    <w:rsid w:val="000652BC"/>
    <w:rsid w:val="00067654"/>
    <w:rsid w:val="00086080"/>
    <w:rsid w:val="000963FC"/>
    <w:rsid w:val="0009687F"/>
    <w:rsid w:val="000977F0"/>
    <w:rsid w:val="000A63AC"/>
    <w:rsid w:val="000B6E14"/>
    <w:rsid w:val="000C15F0"/>
    <w:rsid w:val="000C33EE"/>
    <w:rsid w:val="000C4668"/>
    <w:rsid w:val="00102A9E"/>
    <w:rsid w:val="001424F0"/>
    <w:rsid w:val="00145F22"/>
    <w:rsid w:val="00151A50"/>
    <w:rsid w:val="00154040"/>
    <w:rsid w:val="001606D4"/>
    <w:rsid w:val="00182CC9"/>
    <w:rsid w:val="00193C0A"/>
    <w:rsid w:val="00194606"/>
    <w:rsid w:val="00195EB8"/>
    <w:rsid w:val="001A4BB7"/>
    <w:rsid w:val="001C76FF"/>
    <w:rsid w:val="001D53DA"/>
    <w:rsid w:val="001D5CFD"/>
    <w:rsid w:val="001E112C"/>
    <w:rsid w:val="001E2B56"/>
    <w:rsid w:val="001E6D0D"/>
    <w:rsid w:val="00201CAF"/>
    <w:rsid w:val="0021417E"/>
    <w:rsid w:val="00216CBA"/>
    <w:rsid w:val="00217E26"/>
    <w:rsid w:val="00243DF9"/>
    <w:rsid w:val="00247068"/>
    <w:rsid w:val="00254024"/>
    <w:rsid w:val="00265D65"/>
    <w:rsid w:val="00277BC3"/>
    <w:rsid w:val="002854B5"/>
    <w:rsid w:val="002B20F6"/>
    <w:rsid w:val="002B42ED"/>
    <w:rsid w:val="002B6FB9"/>
    <w:rsid w:val="002C4458"/>
    <w:rsid w:val="002C5D28"/>
    <w:rsid w:val="002D1C7C"/>
    <w:rsid w:val="002D2C8B"/>
    <w:rsid w:val="002D4667"/>
    <w:rsid w:val="002F40AD"/>
    <w:rsid w:val="002F5CBF"/>
    <w:rsid w:val="00303540"/>
    <w:rsid w:val="0031564D"/>
    <w:rsid w:val="00315A9F"/>
    <w:rsid w:val="0032034D"/>
    <w:rsid w:val="00324AF2"/>
    <w:rsid w:val="00341B6D"/>
    <w:rsid w:val="003422FC"/>
    <w:rsid w:val="00355CA5"/>
    <w:rsid w:val="00371A80"/>
    <w:rsid w:val="00374108"/>
    <w:rsid w:val="003778E9"/>
    <w:rsid w:val="003922C7"/>
    <w:rsid w:val="003A3AA3"/>
    <w:rsid w:val="003B6C57"/>
    <w:rsid w:val="003C519A"/>
    <w:rsid w:val="003D49F4"/>
    <w:rsid w:val="003D53A0"/>
    <w:rsid w:val="003F0662"/>
    <w:rsid w:val="003F76F8"/>
    <w:rsid w:val="0040197B"/>
    <w:rsid w:val="004134E5"/>
    <w:rsid w:val="00416F38"/>
    <w:rsid w:val="00417555"/>
    <w:rsid w:val="00422D5C"/>
    <w:rsid w:val="00446B81"/>
    <w:rsid w:val="00453EE5"/>
    <w:rsid w:val="00476066"/>
    <w:rsid w:val="0047799E"/>
    <w:rsid w:val="004948A5"/>
    <w:rsid w:val="00495966"/>
    <w:rsid w:val="004A342C"/>
    <w:rsid w:val="004A4F4F"/>
    <w:rsid w:val="004B5F6A"/>
    <w:rsid w:val="004B6F77"/>
    <w:rsid w:val="004C099D"/>
    <w:rsid w:val="004D7539"/>
    <w:rsid w:val="004D7BFD"/>
    <w:rsid w:val="004E2218"/>
    <w:rsid w:val="004E5293"/>
    <w:rsid w:val="004E7AC5"/>
    <w:rsid w:val="004F10F1"/>
    <w:rsid w:val="004F2119"/>
    <w:rsid w:val="004F544A"/>
    <w:rsid w:val="0051524B"/>
    <w:rsid w:val="005155D7"/>
    <w:rsid w:val="005257F4"/>
    <w:rsid w:val="005304D0"/>
    <w:rsid w:val="00532307"/>
    <w:rsid w:val="00535534"/>
    <w:rsid w:val="0056350F"/>
    <w:rsid w:val="00585A13"/>
    <w:rsid w:val="00586500"/>
    <w:rsid w:val="005A1DFE"/>
    <w:rsid w:val="005E08FF"/>
    <w:rsid w:val="005F0535"/>
    <w:rsid w:val="005F1148"/>
    <w:rsid w:val="00602E71"/>
    <w:rsid w:val="00605E5C"/>
    <w:rsid w:val="00605EF8"/>
    <w:rsid w:val="00611CFC"/>
    <w:rsid w:val="0061786E"/>
    <w:rsid w:val="0063755E"/>
    <w:rsid w:val="00660B5E"/>
    <w:rsid w:val="006613E3"/>
    <w:rsid w:val="00665994"/>
    <w:rsid w:val="0067049E"/>
    <w:rsid w:val="00676FB4"/>
    <w:rsid w:val="00683ABA"/>
    <w:rsid w:val="006A6AD7"/>
    <w:rsid w:val="006B4E43"/>
    <w:rsid w:val="006D1DA5"/>
    <w:rsid w:val="006D647A"/>
    <w:rsid w:val="006E76E7"/>
    <w:rsid w:val="00700276"/>
    <w:rsid w:val="00702743"/>
    <w:rsid w:val="00707AB4"/>
    <w:rsid w:val="00713328"/>
    <w:rsid w:val="00724CA4"/>
    <w:rsid w:val="00745C90"/>
    <w:rsid w:val="00751CD5"/>
    <w:rsid w:val="00762E19"/>
    <w:rsid w:val="0077300E"/>
    <w:rsid w:val="00773965"/>
    <w:rsid w:val="00782C17"/>
    <w:rsid w:val="007873A0"/>
    <w:rsid w:val="0079229C"/>
    <w:rsid w:val="00792A38"/>
    <w:rsid w:val="0079732C"/>
    <w:rsid w:val="007B2012"/>
    <w:rsid w:val="007E53DA"/>
    <w:rsid w:val="008166ED"/>
    <w:rsid w:val="008176C3"/>
    <w:rsid w:val="00820AE0"/>
    <w:rsid w:val="008237EA"/>
    <w:rsid w:val="00825353"/>
    <w:rsid w:val="008279E3"/>
    <w:rsid w:val="00830B24"/>
    <w:rsid w:val="00830E33"/>
    <w:rsid w:val="0083791C"/>
    <w:rsid w:val="00845B1A"/>
    <w:rsid w:val="00845CCA"/>
    <w:rsid w:val="00845E38"/>
    <w:rsid w:val="00854370"/>
    <w:rsid w:val="008600F4"/>
    <w:rsid w:val="00884ABD"/>
    <w:rsid w:val="00896708"/>
    <w:rsid w:val="00896B24"/>
    <w:rsid w:val="00897327"/>
    <w:rsid w:val="008A712D"/>
    <w:rsid w:val="008D7FFD"/>
    <w:rsid w:val="008F3D67"/>
    <w:rsid w:val="008F40A2"/>
    <w:rsid w:val="008F525C"/>
    <w:rsid w:val="00901205"/>
    <w:rsid w:val="009019C9"/>
    <w:rsid w:val="009112B6"/>
    <w:rsid w:val="009171C8"/>
    <w:rsid w:val="009208B2"/>
    <w:rsid w:val="0092781A"/>
    <w:rsid w:val="0094070B"/>
    <w:rsid w:val="00944224"/>
    <w:rsid w:val="00964697"/>
    <w:rsid w:val="009748C3"/>
    <w:rsid w:val="009755C6"/>
    <w:rsid w:val="009A7514"/>
    <w:rsid w:val="009B03C2"/>
    <w:rsid w:val="009B4C51"/>
    <w:rsid w:val="009C0A8D"/>
    <w:rsid w:val="009C628A"/>
    <w:rsid w:val="009C6A83"/>
    <w:rsid w:val="009D3B87"/>
    <w:rsid w:val="009E4B77"/>
    <w:rsid w:val="009F11F4"/>
    <w:rsid w:val="00A2452A"/>
    <w:rsid w:val="00A44BA3"/>
    <w:rsid w:val="00A85CE6"/>
    <w:rsid w:val="00AA59F5"/>
    <w:rsid w:val="00AA6790"/>
    <w:rsid w:val="00AB0A06"/>
    <w:rsid w:val="00AB0F0F"/>
    <w:rsid w:val="00AD0EE7"/>
    <w:rsid w:val="00AE3595"/>
    <w:rsid w:val="00AE5CE0"/>
    <w:rsid w:val="00AE6BB8"/>
    <w:rsid w:val="00AE75FA"/>
    <w:rsid w:val="00B017C8"/>
    <w:rsid w:val="00B01D7D"/>
    <w:rsid w:val="00B17027"/>
    <w:rsid w:val="00B368A2"/>
    <w:rsid w:val="00B400E7"/>
    <w:rsid w:val="00B51DF2"/>
    <w:rsid w:val="00B8468E"/>
    <w:rsid w:val="00BC0508"/>
    <w:rsid w:val="00BC7192"/>
    <w:rsid w:val="00BD0E13"/>
    <w:rsid w:val="00BD231D"/>
    <w:rsid w:val="00BD2B22"/>
    <w:rsid w:val="00BE0C4A"/>
    <w:rsid w:val="00C019A1"/>
    <w:rsid w:val="00C02015"/>
    <w:rsid w:val="00C033BD"/>
    <w:rsid w:val="00C03787"/>
    <w:rsid w:val="00C20963"/>
    <w:rsid w:val="00C21164"/>
    <w:rsid w:val="00C375A1"/>
    <w:rsid w:val="00C47D21"/>
    <w:rsid w:val="00C622F3"/>
    <w:rsid w:val="00C8321E"/>
    <w:rsid w:val="00CB210F"/>
    <w:rsid w:val="00CB5AA3"/>
    <w:rsid w:val="00CC3ADB"/>
    <w:rsid w:val="00CE3506"/>
    <w:rsid w:val="00CE49B9"/>
    <w:rsid w:val="00CE67F4"/>
    <w:rsid w:val="00CF36B2"/>
    <w:rsid w:val="00CF3D07"/>
    <w:rsid w:val="00CF5292"/>
    <w:rsid w:val="00D13320"/>
    <w:rsid w:val="00D15BC7"/>
    <w:rsid w:val="00D21137"/>
    <w:rsid w:val="00D435F4"/>
    <w:rsid w:val="00D4574C"/>
    <w:rsid w:val="00D6790C"/>
    <w:rsid w:val="00D73876"/>
    <w:rsid w:val="00D76F0C"/>
    <w:rsid w:val="00D76FFB"/>
    <w:rsid w:val="00D871FF"/>
    <w:rsid w:val="00DA2278"/>
    <w:rsid w:val="00DA43F0"/>
    <w:rsid w:val="00DB3E0F"/>
    <w:rsid w:val="00DE2C05"/>
    <w:rsid w:val="00DE7A23"/>
    <w:rsid w:val="00DF4E8E"/>
    <w:rsid w:val="00DF7BEE"/>
    <w:rsid w:val="00E112D6"/>
    <w:rsid w:val="00E1794D"/>
    <w:rsid w:val="00E205B4"/>
    <w:rsid w:val="00E303D5"/>
    <w:rsid w:val="00E5179B"/>
    <w:rsid w:val="00E51816"/>
    <w:rsid w:val="00E716D1"/>
    <w:rsid w:val="00E77045"/>
    <w:rsid w:val="00E86954"/>
    <w:rsid w:val="00E87CA8"/>
    <w:rsid w:val="00E94D2D"/>
    <w:rsid w:val="00EC6C07"/>
    <w:rsid w:val="00ED01DD"/>
    <w:rsid w:val="00EE0CD7"/>
    <w:rsid w:val="00EE66A9"/>
    <w:rsid w:val="00EF295E"/>
    <w:rsid w:val="00EF7B2D"/>
    <w:rsid w:val="00F02985"/>
    <w:rsid w:val="00F056D0"/>
    <w:rsid w:val="00F07F62"/>
    <w:rsid w:val="00F228BB"/>
    <w:rsid w:val="00F22A67"/>
    <w:rsid w:val="00F22F8C"/>
    <w:rsid w:val="00F64C82"/>
    <w:rsid w:val="00F764B5"/>
    <w:rsid w:val="00F77FB2"/>
    <w:rsid w:val="00F85137"/>
    <w:rsid w:val="00F85850"/>
    <w:rsid w:val="00F92896"/>
    <w:rsid w:val="00FA7B2E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Pad</dc:creator>
  <cp:lastModifiedBy>Think Pad</cp:lastModifiedBy>
  <cp:revision>1</cp:revision>
  <dcterms:created xsi:type="dcterms:W3CDTF">2015-02-09T09:58:00Z</dcterms:created>
  <dcterms:modified xsi:type="dcterms:W3CDTF">2015-02-09T09:58:00Z</dcterms:modified>
</cp:coreProperties>
</file>