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DC" w:rsidRPr="00FD4A21" w:rsidRDefault="00FF34DC" w:rsidP="00FD4A21">
      <w:pPr>
        <w:spacing w:after="360" w:line="360" w:lineRule="exact"/>
        <w:rPr>
          <w:b/>
          <w:sz w:val="22"/>
          <w:szCs w:val="22"/>
        </w:rPr>
      </w:pPr>
      <w:r w:rsidRPr="00FD4A21">
        <w:rPr>
          <w:b/>
          <w:sz w:val="22"/>
          <w:szCs w:val="22"/>
        </w:rPr>
        <w:t xml:space="preserve">Table </w:t>
      </w:r>
      <w:r w:rsidR="00FD4A21" w:rsidRPr="00FD4A21">
        <w:rPr>
          <w:b/>
          <w:sz w:val="22"/>
          <w:szCs w:val="22"/>
        </w:rPr>
        <w:t>S</w:t>
      </w:r>
      <w:r w:rsidRPr="00FD4A21">
        <w:rPr>
          <w:b/>
          <w:sz w:val="22"/>
          <w:szCs w:val="22"/>
        </w:rPr>
        <w:t xml:space="preserve">1. </w:t>
      </w:r>
      <w:proofErr w:type="gramStart"/>
      <w:r w:rsidRPr="00FD4A21">
        <w:rPr>
          <w:b/>
          <w:sz w:val="22"/>
          <w:szCs w:val="22"/>
        </w:rPr>
        <w:t>Frequency of influenza testing (with 95% confidence interval) among hospitalized patients with a respiratory infection* in participating sites.</w:t>
      </w:r>
      <w:proofErr w:type="gramEnd"/>
      <w:r w:rsidRPr="00FD4A21">
        <w:rPr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134"/>
        <w:gridCol w:w="786"/>
        <w:gridCol w:w="1165"/>
        <w:gridCol w:w="1366"/>
        <w:gridCol w:w="1301"/>
        <w:gridCol w:w="1130"/>
        <w:gridCol w:w="1366"/>
      </w:tblGrid>
      <w:tr w:rsidR="00FF34DC" w:rsidRPr="00FD4A21" w:rsidTr="00FD4A21">
        <w:trPr>
          <w:jc w:val="center"/>
        </w:trPr>
        <w:tc>
          <w:tcPr>
            <w:tcW w:w="2134" w:type="dxa"/>
            <w:tcBorders>
              <w:top w:val="single" w:sz="12" w:space="0" w:color="auto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12" w:space="0" w:color="auto"/>
            </w:tcBorders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531" w:type="dxa"/>
            <w:gridSpan w:val="2"/>
            <w:tcBorders>
              <w:top w:val="single" w:sz="12" w:space="0" w:color="auto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FD4A21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2010-11</w:t>
            </w:r>
          </w:p>
        </w:tc>
        <w:tc>
          <w:tcPr>
            <w:tcW w:w="1301" w:type="dxa"/>
            <w:tcBorders>
              <w:top w:val="single" w:sz="12" w:space="0" w:color="auto"/>
            </w:tcBorders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496" w:type="dxa"/>
            <w:gridSpan w:val="2"/>
            <w:tcBorders>
              <w:top w:val="single" w:sz="12" w:space="0" w:color="auto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FD4A21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2011-12</w:t>
            </w:r>
          </w:p>
        </w:tc>
      </w:tr>
      <w:tr w:rsidR="00FF34DC" w:rsidRPr="00FD4A21" w:rsidTr="00FD4A21">
        <w:trPr>
          <w:jc w:val="center"/>
        </w:trPr>
        <w:tc>
          <w:tcPr>
            <w:tcW w:w="2134" w:type="dxa"/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Age group / Site</w:t>
            </w:r>
          </w:p>
        </w:tc>
        <w:tc>
          <w:tcPr>
            <w:tcW w:w="786" w:type="dxa"/>
          </w:tcPr>
          <w:p w:rsidR="00FF34DC" w:rsidRPr="00FD4A21" w:rsidRDefault="00FF34DC" w:rsidP="00FD4A21">
            <w:pPr>
              <w:pStyle w:val="NormalWeb"/>
              <w:spacing w:before="0" w:beforeAutospacing="0" w:after="0" w:afterAutospacing="0" w:line="360" w:lineRule="exact"/>
              <w:jc w:val="right"/>
              <w:rPr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FD4A21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n</w:t>
            </w:r>
          </w:p>
        </w:tc>
        <w:tc>
          <w:tcPr>
            <w:tcW w:w="1165" w:type="dxa"/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% tested</w:t>
            </w:r>
          </w:p>
        </w:tc>
        <w:tc>
          <w:tcPr>
            <w:tcW w:w="1366" w:type="dxa"/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(95% CI)</w:t>
            </w:r>
          </w:p>
        </w:tc>
        <w:tc>
          <w:tcPr>
            <w:tcW w:w="1301" w:type="dxa"/>
          </w:tcPr>
          <w:p w:rsidR="00FF34DC" w:rsidRPr="00FD4A21" w:rsidRDefault="00FF34DC" w:rsidP="00FD4A21">
            <w:pPr>
              <w:pStyle w:val="NormalWeb"/>
              <w:spacing w:before="0" w:beforeAutospacing="0" w:after="0" w:afterAutospacing="0" w:line="360" w:lineRule="exact"/>
              <w:jc w:val="right"/>
              <w:rPr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FD4A21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n</w:t>
            </w:r>
          </w:p>
        </w:tc>
        <w:tc>
          <w:tcPr>
            <w:tcW w:w="1130" w:type="dxa"/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% tested</w:t>
            </w:r>
          </w:p>
        </w:tc>
        <w:tc>
          <w:tcPr>
            <w:tcW w:w="1366" w:type="dxa"/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(95% CI)</w:t>
            </w:r>
          </w:p>
        </w:tc>
      </w:tr>
      <w:tr w:rsidR="00FF34DC" w:rsidRPr="00FD4A21" w:rsidTr="00FD4A21">
        <w:trPr>
          <w:jc w:val="center"/>
        </w:trPr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b/>
                <w:color w:val="000000" w:themeColor="text1"/>
                <w:kern w:val="24"/>
                <w:sz w:val="22"/>
                <w:szCs w:val="22"/>
              </w:rPr>
            </w:pPr>
            <w:r w:rsidRPr="00FD4A21">
              <w:rPr>
                <w:b/>
                <w:color w:val="000000" w:themeColor="text1"/>
                <w:kern w:val="24"/>
                <w:sz w:val="22"/>
                <w:szCs w:val="22"/>
              </w:rPr>
              <w:t>&lt;18 years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b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b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b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b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b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b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FF34DC" w:rsidRPr="00FD4A21" w:rsidTr="00FD4A21">
        <w:trPr>
          <w:jc w:val="center"/>
        </w:trPr>
        <w:tc>
          <w:tcPr>
            <w:tcW w:w="2134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ind w:left="288"/>
              <w:rPr>
                <w:color w:val="000000" w:themeColor="text1"/>
                <w:kern w:val="24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California, 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kern w:val="24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184</w:t>
            </w:r>
          </w:p>
        </w:tc>
        <w:tc>
          <w:tcPr>
            <w:tcW w:w="1165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kern w:val="24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87%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color w:val="000000" w:themeColor="text1"/>
                <w:kern w:val="24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(82–92%)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kern w:val="24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65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89%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(81–97%)</w:t>
            </w:r>
          </w:p>
        </w:tc>
      </w:tr>
      <w:tr w:rsidR="00FF34DC" w:rsidRPr="00FD4A21" w:rsidTr="00FD4A21">
        <w:trPr>
          <w:trHeight w:val="301"/>
          <w:jc w:val="center"/>
        </w:trPr>
        <w:tc>
          <w:tcPr>
            <w:tcW w:w="2134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ind w:left="288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California, 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kern w:val="24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100</w:t>
            </w:r>
          </w:p>
        </w:tc>
        <w:tc>
          <w:tcPr>
            <w:tcW w:w="1165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56%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(46–66%)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kern w:val="24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90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60%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(50–70%)</w:t>
            </w:r>
          </w:p>
        </w:tc>
      </w:tr>
      <w:tr w:rsidR="00FF34DC" w:rsidRPr="00FD4A21" w:rsidTr="00FD4A21">
        <w:trPr>
          <w:jc w:val="center"/>
        </w:trPr>
        <w:tc>
          <w:tcPr>
            <w:tcW w:w="2134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ind w:left="288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Colorado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kern w:val="24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99</w:t>
            </w:r>
          </w:p>
        </w:tc>
        <w:tc>
          <w:tcPr>
            <w:tcW w:w="1165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30%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(21–39%)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FF34DC" w:rsidRPr="00FD4A21" w:rsidTr="00FD4A21">
        <w:trPr>
          <w:jc w:val="center"/>
        </w:trPr>
        <w:tc>
          <w:tcPr>
            <w:tcW w:w="2134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ind w:left="288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New Mexico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kern w:val="24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95</w:t>
            </w:r>
          </w:p>
        </w:tc>
        <w:tc>
          <w:tcPr>
            <w:tcW w:w="1165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72%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(63–81%)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kern w:val="24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75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68%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(57–79%)</w:t>
            </w:r>
          </w:p>
        </w:tc>
      </w:tr>
      <w:tr w:rsidR="00FF34DC" w:rsidRPr="00FD4A21" w:rsidTr="00FD4A21">
        <w:trPr>
          <w:jc w:val="center"/>
        </w:trPr>
        <w:tc>
          <w:tcPr>
            <w:tcW w:w="2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ind w:left="288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New York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kern w:val="24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70</w:t>
            </w:r>
          </w:p>
        </w:tc>
        <w:tc>
          <w:tcPr>
            <w:tcW w:w="1165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76%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(66–86%)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kern w:val="24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49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65%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(52–79%)</w:t>
            </w:r>
          </w:p>
        </w:tc>
      </w:tr>
      <w:tr w:rsidR="00FF34DC" w:rsidRPr="00FD4A21" w:rsidTr="00FD4A21">
        <w:trPr>
          <w:jc w:val="center"/>
        </w:trPr>
        <w:tc>
          <w:tcPr>
            <w:tcW w:w="2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ind w:left="288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Oregon</w:t>
            </w:r>
          </w:p>
        </w:tc>
        <w:tc>
          <w:tcPr>
            <w:tcW w:w="786" w:type="dxa"/>
            <w:tcBorders>
              <w:top w:val="nil"/>
              <w:bottom w:val="single" w:sz="4" w:space="0" w:color="auto"/>
            </w:tcBorders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kern w:val="24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306</w:t>
            </w:r>
          </w:p>
        </w:tc>
        <w:tc>
          <w:tcPr>
            <w:tcW w:w="1165" w:type="dxa"/>
            <w:tcBorders>
              <w:top w:val="nil"/>
              <w:bottom w:val="single" w:sz="4" w:space="0" w:color="auto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54%</w:t>
            </w:r>
          </w:p>
        </w:tc>
        <w:tc>
          <w:tcPr>
            <w:tcW w:w="1366" w:type="dxa"/>
            <w:tcBorders>
              <w:top w:val="nil"/>
              <w:bottom w:val="single" w:sz="4" w:space="0" w:color="auto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(49–60%)</w:t>
            </w: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kern w:val="24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61</w:t>
            </w:r>
          </w:p>
        </w:tc>
        <w:tc>
          <w:tcPr>
            <w:tcW w:w="1130" w:type="dxa"/>
            <w:tcBorders>
              <w:top w:val="nil"/>
              <w:bottom w:val="single" w:sz="4" w:space="0" w:color="auto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41%</w:t>
            </w:r>
          </w:p>
        </w:tc>
        <w:tc>
          <w:tcPr>
            <w:tcW w:w="1366" w:type="dxa"/>
            <w:tcBorders>
              <w:top w:val="nil"/>
              <w:bottom w:val="single" w:sz="4" w:space="0" w:color="auto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(28–54%)</w:t>
            </w:r>
          </w:p>
        </w:tc>
      </w:tr>
      <w:tr w:rsidR="00FF34DC" w:rsidRPr="00FD4A21" w:rsidTr="00FD4A21">
        <w:trPr>
          <w:trHeight w:val="432"/>
          <w:jc w:val="center"/>
        </w:trPr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ind w:left="144"/>
              <w:rPr>
                <w:i/>
                <w:color w:val="000000" w:themeColor="text1"/>
                <w:kern w:val="24"/>
                <w:sz w:val="22"/>
                <w:szCs w:val="22"/>
              </w:rPr>
            </w:pPr>
            <w:r w:rsidRPr="00FD4A21">
              <w:rPr>
                <w:i/>
                <w:color w:val="000000" w:themeColor="text1"/>
                <w:kern w:val="24"/>
                <w:sz w:val="22"/>
                <w:szCs w:val="22"/>
              </w:rPr>
              <w:t>Combined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62%</w:t>
            </w: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(48–77%)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66%</w:t>
            </w: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(52–79%)</w:t>
            </w:r>
          </w:p>
        </w:tc>
      </w:tr>
      <w:tr w:rsidR="00FF34DC" w:rsidRPr="00FD4A21" w:rsidTr="00FD4A21">
        <w:trPr>
          <w:jc w:val="center"/>
        </w:trPr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b/>
                <w:color w:val="000000" w:themeColor="text1"/>
                <w:kern w:val="24"/>
                <w:sz w:val="22"/>
                <w:szCs w:val="22"/>
              </w:rPr>
            </w:pPr>
            <w:r w:rsidRPr="00FD4A21">
              <w:rPr>
                <w:b/>
                <w:color w:val="000000" w:themeColor="text1"/>
                <w:kern w:val="24"/>
                <w:sz w:val="22"/>
                <w:szCs w:val="22"/>
              </w:rPr>
              <w:t>18-64 years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b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b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b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b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b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b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FF34DC" w:rsidRPr="00FD4A21" w:rsidTr="00FD4A21">
        <w:trPr>
          <w:jc w:val="center"/>
        </w:trPr>
        <w:tc>
          <w:tcPr>
            <w:tcW w:w="2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ind w:left="288"/>
              <w:rPr>
                <w:color w:val="000000" w:themeColor="text1"/>
                <w:kern w:val="24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California, 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kern w:val="24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461</w:t>
            </w:r>
          </w:p>
        </w:tc>
        <w:tc>
          <w:tcPr>
            <w:tcW w:w="1165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kern w:val="24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72%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color w:val="000000" w:themeColor="text1"/>
                <w:kern w:val="24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(67–76%)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sz w:val="22"/>
                <w:szCs w:val="22"/>
              </w:rPr>
              <w:t>313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sz w:val="22"/>
                <w:szCs w:val="22"/>
              </w:rPr>
              <w:t>65%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(60–70%)</w:t>
            </w:r>
          </w:p>
        </w:tc>
      </w:tr>
      <w:tr w:rsidR="00FF34DC" w:rsidRPr="00FD4A21" w:rsidTr="00FD4A21">
        <w:trPr>
          <w:jc w:val="center"/>
        </w:trPr>
        <w:tc>
          <w:tcPr>
            <w:tcW w:w="2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ind w:left="288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California, 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kern w:val="24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99</w:t>
            </w:r>
          </w:p>
        </w:tc>
        <w:tc>
          <w:tcPr>
            <w:tcW w:w="1165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31%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(22–41%)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kern w:val="24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86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27%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(17–36%)</w:t>
            </w:r>
          </w:p>
        </w:tc>
      </w:tr>
      <w:tr w:rsidR="00FF34DC" w:rsidRPr="00FD4A21" w:rsidTr="00FD4A21">
        <w:trPr>
          <w:jc w:val="center"/>
        </w:trPr>
        <w:tc>
          <w:tcPr>
            <w:tcW w:w="2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ind w:left="288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Colorado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kern w:val="24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96</w:t>
            </w:r>
          </w:p>
        </w:tc>
        <w:tc>
          <w:tcPr>
            <w:tcW w:w="1165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39%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(29–48%)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FF34DC" w:rsidRPr="00FD4A21" w:rsidTr="00FD4A21">
        <w:trPr>
          <w:jc w:val="center"/>
        </w:trPr>
        <w:tc>
          <w:tcPr>
            <w:tcW w:w="2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ind w:left="288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New Mexico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kern w:val="24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105</w:t>
            </w:r>
          </w:p>
        </w:tc>
        <w:tc>
          <w:tcPr>
            <w:tcW w:w="1165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28%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(19–36%)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kern w:val="24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74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35%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(24–46%)</w:t>
            </w:r>
          </w:p>
        </w:tc>
      </w:tr>
      <w:tr w:rsidR="00FF34DC" w:rsidRPr="00FD4A21" w:rsidTr="00FD4A21">
        <w:trPr>
          <w:jc w:val="center"/>
        </w:trPr>
        <w:tc>
          <w:tcPr>
            <w:tcW w:w="2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ind w:left="288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New York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kern w:val="24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89</w:t>
            </w:r>
          </w:p>
        </w:tc>
        <w:tc>
          <w:tcPr>
            <w:tcW w:w="1165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35%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(25–45%)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kern w:val="24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74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18%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(10–27%)</w:t>
            </w:r>
          </w:p>
        </w:tc>
      </w:tr>
      <w:tr w:rsidR="00FF34DC" w:rsidRPr="00FD4A21" w:rsidTr="00FD4A21">
        <w:trPr>
          <w:jc w:val="center"/>
        </w:trPr>
        <w:tc>
          <w:tcPr>
            <w:tcW w:w="2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ind w:left="288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Oregon</w:t>
            </w:r>
          </w:p>
        </w:tc>
        <w:tc>
          <w:tcPr>
            <w:tcW w:w="786" w:type="dxa"/>
            <w:tcBorders>
              <w:top w:val="nil"/>
              <w:bottom w:val="single" w:sz="4" w:space="0" w:color="auto"/>
            </w:tcBorders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kern w:val="24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951</w:t>
            </w:r>
          </w:p>
        </w:tc>
        <w:tc>
          <w:tcPr>
            <w:tcW w:w="1165" w:type="dxa"/>
            <w:tcBorders>
              <w:top w:val="nil"/>
              <w:bottom w:val="single" w:sz="4" w:space="0" w:color="auto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37%</w:t>
            </w:r>
          </w:p>
        </w:tc>
        <w:tc>
          <w:tcPr>
            <w:tcW w:w="1366" w:type="dxa"/>
            <w:tcBorders>
              <w:top w:val="nil"/>
              <w:bottom w:val="single" w:sz="4" w:space="0" w:color="auto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(34–40%)</w:t>
            </w: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kern w:val="24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61</w:t>
            </w:r>
          </w:p>
        </w:tc>
        <w:tc>
          <w:tcPr>
            <w:tcW w:w="1130" w:type="dxa"/>
            <w:tcBorders>
              <w:top w:val="nil"/>
              <w:bottom w:val="single" w:sz="4" w:space="0" w:color="auto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41%</w:t>
            </w:r>
          </w:p>
        </w:tc>
        <w:tc>
          <w:tcPr>
            <w:tcW w:w="1366" w:type="dxa"/>
            <w:tcBorders>
              <w:top w:val="nil"/>
              <w:bottom w:val="single" w:sz="4" w:space="0" w:color="auto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(28–54%)</w:t>
            </w:r>
          </w:p>
        </w:tc>
      </w:tr>
      <w:tr w:rsidR="00FF34DC" w:rsidRPr="00FD4A21" w:rsidTr="00FD4A21">
        <w:trPr>
          <w:trHeight w:val="432"/>
          <w:jc w:val="center"/>
        </w:trPr>
        <w:tc>
          <w:tcPr>
            <w:tcW w:w="2134" w:type="dxa"/>
            <w:shd w:val="clear" w:color="auto" w:fill="auto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ind w:left="144"/>
              <w:rPr>
                <w:i/>
                <w:color w:val="000000" w:themeColor="text1"/>
                <w:kern w:val="24"/>
                <w:sz w:val="22"/>
                <w:szCs w:val="22"/>
              </w:rPr>
            </w:pPr>
            <w:r w:rsidRPr="00FD4A21">
              <w:rPr>
                <w:i/>
                <w:color w:val="000000" w:themeColor="text1"/>
                <w:kern w:val="24"/>
                <w:sz w:val="22"/>
                <w:szCs w:val="22"/>
              </w:rPr>
              <w:t xml:space="preserve">Combined </w:t>
            </w:r>
          </w:p>
        </w:tc>
        <w:tc>
          <w:tcPr>
            <w:tcW w:w="786" w:type="dxa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65" w:type="dxa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41%</w:t>
            </w:r>
          </w:p>
        </w:tc>
        <w:tc>
          <w:tcPr>
            <w:tcW w:w="1366" w:type="dxa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(30–53%)</w:t>
            </w:r>
          </w:p>
        </w:tc>
        <w:tc>
          <w:tcPr>
            <w:tcW w:w="1301" w:type="dxa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38%</w:t>
            </w:r>
          </w:p>
        </w:tc>
        <w:tc>
          <w:tcPr>
            <w:tcW w:w="1366" w:type="dxa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(23–52%)</w:t>
            </w:r>
          </w:p>
        </w:tc>
      </w:tr>
      <w:tr w:rsidR="00FF34DC" w:rsidRPr="00FD4A21" w:rsidTr="00FD4A21">
        <w:trPr>
          <w:jc w:val="center"/>
        </w:trPr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b/>
                <w:color w:val="000000" w:themeColor="text1"/>
                <w:kern w:val="24"/>
                <w:sz w:val="22"/>
                <w:szCs w:val="22"/>
              </w:rPr>
            </w:pPr>
            <w:r w:rsidRPr="00FD4A21">
              <w:rPr>
                <w:b/>
                <w:color w:val="000000" w:themeColor="text1"/>
                <w:kern w:val="24"/>
                <w:sz w:val="22"/>
                <w:szCs w:val="22"/>
              </w:rPr>
              <w:t>65+ years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b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b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b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b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b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b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FF34DC" w:rsidRPr="00FD4A21" w:rsidTr="00FD4A21">
        <w:trPr>
          <w:jc w:val="center"/>
        </w:trPr>
        <w:tc>
          <w:tcPr>
            <w:tcW w:w="2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ind w:left="288"/>
              <w:rPr>
                <w:color w:val="000000" w:themeColor="text1"/>
                <w:kern w:val="24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California, 1</w:t>
            </w:r>
          </w:p>
        </w:tc>
        <w:tc>
          <w:tcPr>
            <w:tcW w:w="786" w:type="dxa"/>
            <w:tcBorders>
              <w:top w:val="single" w:sz="4" w:space="0" w:color="auto"/>
              <w:bottom w:val="nil"/>
            </w:tcBorders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kern w:val="24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1,049</w:t>
            </w:r>
          </w:p>
        </w:tc>
        <w:tc>
          <w:tcPr>
            <w:tcW w:w="1165" w:type="dxa"/>
            <w:tcBorders>
              <w:top w:val="single" w:sz="4" w:space="0" w:color="auto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kern w:val="24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54%</w:t>
            </w:r>
          </w:p>
        </w:tc>
        <w:tc>
          <w:tcPr>
            <w:tcW w:w="1366" w:type="dxa"/>
            <w:tcBorders>
              <w:top w:val="single" w:sz="4" w:space="0" w:color="auto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color w:val="000000" w:themeColor="text1"/>
                <w:kern w:val="24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(51–57%)</w:t>
            </w:r>
          </w:p>
        </w:tc>
        <w:tc>
          <w:tcPr>
            <w:tcW w:w="1301" w:type="dxa"/>
            <w:tcBorders>
              <w:top w:val="single" w:sz="4" w:space="0" w:color="auto"/>
              <w:bottom w:val="nil"/>
            </w:tcBorders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sz w:val="22"/>
                <w:szCs w:val="22"/>
              </w:rPr>
              <w:t>961</w:t>
            </w:r>
          </w:p>
        </w:tc>
        <w:tc>
          <w:tcPr>
            <w:tcW w:w="1130" w:type="dxa"/>
            <w:tcBorders>
              <w:top w:val="single" w:sz="4" w:space="0" w:color="auto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sz w:val="22"/>
                <w:szCs w:val="22"/>
              </w:rPr>
              <w:t>50%</w:t>
            </w:r>
          </w:p>
        </w:tc>
        <w:tc>
          <w:tcPr>
            <w:tcW w:w="1366" w:type="dxa"/>
            <w:tcBorders>
              <w:top w:val="single" w:sz="4" w:space="0" w:color="auto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(47–53%)</w:t>
            </w:r>
          </w:p>
        </w:tc>
      </w:tr>
      <w:tr w:rsidR="00FF34DC" w:rsidRPr="00FD4A21" w:rsidTr="00FD4A21">
        <w:trPr>
          <w:jc w:val="center"/>
        </w:trPr>
        <w:tc>
          <w:tcPr>
            <w:tcW w:w="2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ind w:left="288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California, 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kern w:val="24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100</w:t>
            </w:r>
          </w:p>
        </w:tc>
        <w:tc>
          <w:tcPr>
            <w:tcW w:w="1165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23%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(15–31%)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kern w:val="24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175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21%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(15–27%)</w:t>
            </w:r>
          </w:p>
        </w:tc>
      </w:tr>
      <w:tr w:rsidR="00FF34DC" w:rsidRPr="00FD4A21" w:rsidTr="00FD4A21">
        <w:trPr>
          <w:jc w:val="center"/>
        </w:trPr>
        <w:tc>
          <w:tcPr>
            <w:tcW w:w="2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ind w:left="288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Colorado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kern w:val="24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95</w:t>
            </w:r>
          </w:p>
        </w:tc>
        <w:tc>
          <w:tcPr>
            <w:tcW w:w="1165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35%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(25–44%)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FF34DC" w:rsidRPr="00FD4A21" w:rsidTr="00FD4A21">
        <w:trPr>
          <w:jc w:val="center"/>
        </w:trPr>
        <w:tc>
          <w:tcPr>
            <w:tcW w:w="2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ind w:left="288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New Mexico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kern w:val="24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102</w:t>
            </w:r>
          </w:p>
        </w:tc>
        <w:tc>
          <w:tcPr>
            <w:tcW w:w="1165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18%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(10–25%)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kern w:val="24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151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22%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(15–28%)</w:t>
            </w:r>
          </w:p>
        </w:tc>
      </w:tr>
      <w:tr w:rsidR="00FF34DC" w:rsidRPr="00FD4A21" w:rsidTr="00FD4A21">
        <w:trPr>
          <w:jc w:val="center"/>
        </w:trPr>
        <w:tc>
          <w:tcPr>
            <w:tcW w:w="2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ind w:left="288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New York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kern w:val="24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105</w:t>
            </w:r>
          </w:p>
        </w:tc>
        <w:tc>
          <w:tcPr>
            <w:tcW w:w="1165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30%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(21–38%)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kern w:val="24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149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15%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(9–21%)</w:t>
            </w:r>
          </w:p>
        </w:tc>
      </w:tr>
      <w:tr w:rsidR="00FF34DC" w:rsidRPr="00FD4A21" w:rsidTr="00FD4A21">
        <w:trPr>
          <w:jc w:val="center"/>
        </w:trPr>
        <w:tc>
          <w:tcPr>
            <w:tcW w:w="2134" w:type="dxa"/>
            <w:tcBorders>
              <w:top w:val="nil"/>
            </w:tcBorders>
            <w:shd w:val="clear" w:color="auto" w:fill="auto"/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ind w:left="288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Oregon</w:t>
            </w:r>
          </w:p>
        </w:tc>
        <w:tc>
          <w:tcPr>
            <w:tcW w:w="786" w:type="dxa"/>
            <w:tcBorders>
              <w:top w:val="nil"/>
            </w:tcBorders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kern w:val="24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1,352</w:t>
            </w:r>
          </w:p>
        </w:tc>
        <w:tc>
          <w:tcPr>
            <w:tcW w:w="1165" w:type="dxa"/>
            <w:tcBorders>
              <w:top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22%</w:t>
            </w:r>
          </w:p>
        </w:tc>
        <w:tc>
          <w:tcPr>
            <w:tcW w:w="1366" w:type="dxa"/>
            <w:tcBorders>
              <w:top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(20–25%)</w:t>
            </w:r>
          </w:p>
        </w:tc>
        <w:tc>
          <w:tcPr>
            <w:tcW w:w="1301" w:type="dxa"/>
            <w:tcBorders>
              <w:top w:val="nil"/>
            </w:tcBorders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kern w:val="24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118</w:t>
            </w:r>
          </w:p>
        </w:tc>
        <w:tc>
          <w:tcPr>
            <w:tcW w:w="1130" w:type="dxa"/>
            <w:tcBorders>
              <w:top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30%</w:t>
            </w:r>
          </w:p>
        </w:tc>
        <w:tc>
          <w:tcPr>
            <w:tcW w:w="1366" w:type="dxa"/>
            <w:tcBorders>
              <w:top w:val="nil"/>
            </w:tcBorders>
            <w:vAlign w:val="center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(21–38%)</w:t>
            </w:r>
          </w:p>
        </w:tc>
      </w:tr>
      <w:tr w:rsidR="00FF34DC" w:rsidRPr="00FD4A21" w:rsidTr="00FD4A21">
        <w:trPr>
          <w:trHeight w:val="432"/>
          <w:jc w:val="center"/>
        </w:trPr>
        <w:tc>
          <w:tcPr>
            <w:tcW w:w="2134" w:type="dxa"/>
            <w:tcBorders>
              <w:bottom w:val="single" w:sz="12" w:space="0" w:color="auto"/>
            </w:tcBorders>
            <w:shd w:val="clear" w:color="auto" w:fill="auto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ind w:left="144"/>
              <w:rPr>
                <w:i/>
                <w:color w:val="000000" w:themeColor="text1"/>
                <w:kern w:val="24"/>
                <w:sz w:val="22"/>
                <w:szCs w:val="22"/>
              </w:rPr>
            </w:pPr>
            <w:r w:rsidRPr="00FD4A21">
              <w:rPr>
                <w:i/>
                <w:color w:val="000000" w:themeColor="text1"/>
                <w:kern w:val="24"/>
                <w:sz w:val="22"/>
                <w:szCs w:val="22"/>
              </w:rPr>
              <w:t xml:space="preserve">Combined </w:t>
            </w:r>
          </w:p>
        </w:tc>
        <w:tc>
          <w:tcPr>
            <w:tcW w:w="786" w:type="dxa"/>
            <w:tcBorders>
              <w:bottom w:val="single" w:sz="12" w:space="0" w:color="auto"/>
            </w:tcBorders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65" w:type="dxa"/>
            <w:tcBorders>
              <w:bottom w:val="single" w:sz="12" w:space="0" w:color="auto"/>
            </w:tcBorders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31%</w:t>
            </w:r>
          </w:p>
        </w:tc>
        <w:tc>
          <w:tcPr>
            <w:tcW w:w="1366" w:type="dxa"/>
            <w:tcBorders>
              <w:bottom w:val="single" w:sz="12" w:space="0" w:color="auto"/>
            </w:tcBorders>
            <w:shd w:val="clear" w:color="auto" w:fill="auto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(21–40%)</w:t>
            </w: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130" w:type="dxa"/>
            <w:tcBorders>
              <w:bottom w:val="single" w:sz="12" w:space="0" w:color="auto"/>
            </w:tcBorders>
            <w:shd w:val="clear" w:color="auto" w:fill="auto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28%</w:t>
            </w:r>
          </w:p>
        </w:tc>
        <w:tc>
          <w:tcPr>
            <w:tcW w:w="1366" w:type="dxa"/>
            <w:tcBorders>
              <w:bottom w:val="single" w:sz="12" w:space="0" w:color="auto"/>
            </w:tcBorders>
            <w:shd w:val="clear" w:color="auto" w:fill="auto"/>
          </w:tcPr>
          <w:p w:rsidR="00FF34DC" w:rsidRPr="00FD4A21" w:rsidRDefault="00FF34DC" w:rsidP="005545E9">
            <w:pPr>
              <w:pStyle w:val="NormalWeb"/>
              <w:spacing w:before="0" w:beforeAutospacing="0" w:after="0" w:afterAutospacing="0" w:line="360" w:lineRule="exact"/>
              <w:rPr>
                <w:color w:val="000000" w:themeColor="text1"/>
                <w:sz w:val="22"/>
                <w:szCs w:val="22"/>
              </w:rPr>
            </w:pPr>
            <w:r w:rsidRPr="00FD4A21">
              <w:rPr>
                <w:color w:val="000000" w:themeColor="text1"/>
                <w:kern w:val="24"/>
                <w:sz w:val="22"/>
                <w:szCs w:val="22"/>
              </w:rPr>
              <w:t>(23–52%)</w:t>
            </w:r>
          </w:p>
        </w:tc>
      </w:tr>
    </w:tbl>
    <w:p w:rsidR="00FF34DC" w:rsidRPr="00FD4A21" w:rsidRDefault="00FF34DC" w:rsidP="00FF34DC">
      <w:pPr>
        <w:rPr>
          <w:sz w:val="22"/>
          <w:szCs w:val="22"/>
        </w:rPr>
      </w:pPr>
    </w:p>
    <w:p w:rsidR="00857BD3" w:rsidRPr="00FD4A21" w:rsidRDefault="00FF34DC" w:rsidP="00630B02">
      <w:pPr>
        <w:ind w:left="900"/>
        <w:rPr>
          <w:sz w:val="22"/>
          <w:szCs w:val="22"/>
        </w:rPr>
      </w:pPr>
      <w:r w:rsidRPr="00FD4A21">
        <w:rPr>
          <w:sz w:val="22"/>
          <w:szCs w:val="22"/>
        </w:rPr>
        <w:t>*ICD-9 discharge codes included: 466, 480-488</w:t>
      </w:r>
      <w:bookmarkStart w:id="0" w:name="_GoBack"/>
      <w:bookmarkEnd w:id="0"/>
    </w:p>
    <w:sectPr w:rsidR="00857BD3" w:rsidRPr="00FD4A21" w:rsidSect="00E64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DC"/>
    <w:rsid w:val="001E32DF"/>
    <w:rsid w:val="002231CB"/>
    <w:rsid w:val="00630B02"/>
    <w:rsid w:val="00857BD3"/>
    <w:rsid w:val="00D46A2C"/>
    <w:rsid w:val="00FD4A21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4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34DC"/>
    <w:pPr>
      <w:spacing w:before="100" w:beforeAutospacing="1" w:after="100" w:afterAutospacing="1"/>
    </w:pPr>
  </w:style>
  <w:style w:type="table" w:styleId="TableGrid">
    <w:name w:val="Table Grid"/>
    <w:basedOn w:val="TableNormal"/>
    <w:rsid w:val="00FF3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4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34DC"/>
    <w:pPr>
      <w:spacing w:before="100" w:beforeAutospacing="1" w:after="100" w:afterAutospacing="1"/>
    </w:pPr>
  </w:style>
  <w:style w:type="table" w:styleId="TableGrid">
    <w:name w:val="Table Grid"/>
    <w:basedOn w:val="TableNormal"/>
    <w:rsid w:val="00FF3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877DA-55F5-451A-A5C0-5076D2B7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3</cp:revision>
  <dcterms:created xsi:type="dcterms:W3CDTF">2015-01-07T18:58:00Z</dcterms:created>
  <dcterms:modified xsi:type="dcterms:W3CDTF">2015-01-07T18:58:00Z</dcterms:modified>
</cp:coreProperties>
</file>