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The ARRIVE Guidelines Checklist</w:t>
      </w:r>
    </w:p>
    <w:p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Animal Research: Reporting In Vivo Experiments</w:t>
      </w:r>
    </w:p>
    <w:p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 Kilkenny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 William J Browne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 Innes C Cuthill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, Michael Emerson</w:t>
      </w:r>
      <w:r>
        <w:rPr>
          <w:rFonts w:ascii="Arial" w:hAnsi="Arial" w:cs="Arial"/>
          <w:sz w:val="20"/>
          <w:szCs w:val="20"/>
          <w:vertAlign w:val="superscript"/>
        </w:rPr>
        <w:t>4</w:t>
      </w:r>
      <w:r>
        <w:rPr>
          <w:rFonts w:ascii="Arial" w:hAnsi="Arial" w:cs="Arial"/>
          <w:sz w:val="20"/>
          <w:szCs w:val="20"/>
        </w:rPr>
        <w:t xml:space="preserve"> and Douglas G Altman</w:t>
      </w:r>
      <w:r>
        <w:rPr>
          <w:rFonts w:ascii="Arial" w:hAnsi="Arial" w:cs="Arial"/>
          <w:sz w:val="20"/>
          <w:szCs w:val="20"/>
          <w:vertAlign w:val="superscript"/>
        </w:rPr>
        <w:t>5</w:t>
      </w:r>
    </w:p>
    <w:p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>
        <w:rPr>
          <w:rFonts w:ascii="Arial" w:hAnsi="Arial" w:cs="Arial"/>
          <w:i/>
          <w:iCs/>
          <w:sz w:val="16"/>
          <w:szCs w:val="16"/>
        </w:rPr>
        <w:t>Centre for Statistics in Medicine, University of O</w:t>
      </w:r>
      <w:bookmarkStart w:id="0" w:name="_GoBack"/>
      <w:bookmarkEnd w:id="0"/>
      <w:r>
        <w:rPr>
          <w:rFonts w:ascii="Arial" w:hAnsi="Arial" w:cs="Arial"/>
          <w:i/>
          <w:iCs/>
          <w:sz w:val="16"/>
          <w:szCs w:val="16"/>
        </w:rPr>
        <w:t>xford, Oxford, UK.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282"/>
        <w:gridCol w:w="1231"/>
      </w:tblGrid>
      <w:tr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2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2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 page</w:t>
            </w:r>
          </w:p>
        </w:tc>
      </w:tr>
      <w:tr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Abstract</w:t>
            </w:r>
          </w:p>
        </w:tc>
      </w:tr>
      <w:tr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2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>
            <w:pPr>
              <w:pStyle w:val="ListParagraph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</w:t>
            </w:r>
          </w:p>
        </w:tc>
      </w:tr>
      <w:tr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</w:t>
            </w:r>
          </w:p>
        </w:tc>
      </w:tr>
      <w:tr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2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and Methods</w:t>
            </w:r>
          </w:p>
        </w:tc>
      </w:tr>
      <w:tr>
        <w:trPr>
          <w:gridBefore w:val="1"/>
          <w:wBefore w:w="34" w:type="dxa"/>
        </w:trPr>
        <w:tc>
          <w:tcPr>
            <w:tcW w:w="86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&amp; Methods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&amp; Methods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&amp; Methods</w:t>
            </w:r>
          </w:p>
        </w:tc>
      </w:tr>
      <w:tr>
        <w:trPr>
          <w:gridBefore w:val="1"/>
          <w:wBefore w:w="34" w:type="dxa"/>
          <w:trHeight w:val="704"/>
        </w:trPr>
        <w:tc>
          <w:tcPr>
            <w:tcW w:w="86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&amp; Methods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&amp; Methods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&amp; Methods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&amp; Methods</w:t>
            </w:r>
          </w:p>
        </w:tc>
      </w:tr>
      <w:tr>
        <w:trPr>
          <w:gridBefore w:val="1"/>
          <w:wBefore w:w="34" w:type="dxa"/>
          <w:trHeight w:val="1322"/>
        </w:trPr>
        <w:tc>
          <w:tcPr>
            <w:tcW w:w="86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&amp; Methods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&amp; Methods</w:t>
            </w:r>
          </w:p>
        </w:tc>
      </w:tr>
    </w:tbl>
    <w:p>
      <w:pPr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br/>
        <w:t xml:space="preserve">The ARRIVE guidelines. Originally published in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PLoS</w:t>
      </w:r>
      <w:proofErr w:type="spellEnd"/>
      <w:r>
        <w:rPr>
          <w:rFonts w:ascii="Arial" w:hAnsi="Arial" w:cs="Arial"/>
          <w:i/>
          <w:iCs/>
          <w:sz w:val="16"/>
          <w:szCs w:val="16"/>
        </w:rPr>
        <w:t xml:space="preserve"> Biology</w:t>
      </w:r>
      <w:r>
        <w:rPr>
          <w:rFonts w:ascii="Arial" w:hAnsi="Arial" w:cs="Arial"/>
          <w:sz w:val="16"/>
          <w:szCs w:val="16"/>
        </w:rPr>
        <w:t>, June 2010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03"/>
        <w:gridCol w:w="44"/>
      </w:tblGrid>
      <w:tr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>
              <w:rPr>
                <w:rFonts w:ascii="Arial" w:hAnsi="Arial" w:cs="Arial"/>
                <w:noProof/>
                <w:lang w:val="en-US"/>
              </w:rPr>
              <w:lastRenderedPageBreak/>
              <w:drawing>
                <wp:inline distT="0" distB="0" distL="0" distR="0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&amp; Methods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&amp; Methods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&amp; Methods</w:t>
            </w:r>
          </w:p>
        </w:tc>
      </w:tr>
      <w:tr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&amp; Methods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Results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Results</w:t>
            </w:r>
          </w:p>
        </w:tc>
      </w:tr>
      <w:tr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Methods &amp; Materials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Methods &amp; Materials</w:t>
            </w:r>
          </w:p>
        </w:tc>
      </w:tr>
      <w:tr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&amp; Methods</w:t>
            </w:r>
          </w:p>
        </w:tc>
      </w:tr>
      <w:tr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&amp; Methods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Results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&amp; Methods</w:t>
            </w:r>
          </w:p>
        </w:tc>
      </w:tr>
      <w:tr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&amp; Methods</w:t>
            </w:r>
          </w:p>
        </w:tc>
      </w:tr>
      <w:tr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Results</w:t>
            </w:r>
          </w:p>
        </w:tc>
      </w:tr>
      <w:tr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Results</w:t>
            </w:r>
          </w:p>
        </w:tc>
      </w:tr>
      <w:tr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Results</w:t>
            </w:r>
          </w:p>
        </w:tc>
      </w:tr>
      <w:tr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 </w:t>
            </w: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</w:t>
            </w:r>
          </w:p>
        </w:tc>
      </w:tr>
      <w:tr>
        <w:trPr>
          <w:gridAfter w:val="1"/>
          <w:wAfter w:w="44" w:type="dxa"/>
        </w:trPr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Acknowledgements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5FBDB-938A-42A0-BA44-EBA80E04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CKerr</cp:lastModifiedBy>
  <cp:revision>2</cp:revision>
  <cp:lastPrinted>2014-11-18T15:25:00Z</cp:lastPrinted>
  <dcterms:created xsi:type="dcterms:W3CDTF">2014-11-19T12:32:00Z</dcterms:created>
  <dcterms:modified xsi:type="dcterms:W3CDTF">2014-11-19T12:32:00Z</dcterms:modified>
</cp:coreProperties>
</file>