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D" w:rsidRPr="009E4801" w:rsidRDefault="0026451D" w:rsidP="0026451D">
      <w:pPr>
        <w:pStyle w:val="Heading1"/>
        <w:spacing w:before="0" w:after="0" w:line="480" w:lineRule="auto"/>
        <w:rPr>
          <w:rFonts w:ascii="Times New Roman" w:hAnsi="Times New Roman"/>
          <w:sz w:val="40"/>
          <w:lang w:val="en-GB"/>
        </w:rPr>
      </w:pPr>
      <w:r>
        <w:rPr>
          <w:rFonts w:ascii="Times New Roman" w:hAnsi="Times New Roman"/>
          <w:sz w:val="40"/>
          <w:lang w:val="en-GB"/>
        </w:rPr>
        <w:t>Extended</w:t>
      </w:r>
      <w:r w:rsidRPr="009E4801">
        <w:rPr>
          <w:rFonts w:ascii="Times New Roman" w:hAnsi="Times New Roman"/>
          <w:sz w:val="40"/>
          <w:lang w:val="en-GB"/>
        </w:rPr>
        <w:t xml:space="preserve"> </w:t>
      </w:r>
      <w:r>
        <w:rPr>
          <w:rFonts w:ascii="Times New Roman" w:hAnsi="Times New Roman"/>
          <w:sz w:val="40"/>
          <w:lang w:val="en-GB"/>
        </w:rPr>
        <w:t>materials and m</w:t>
      </w:r>
      <w:r w:rsidRPr="009E4801">
        <w:rPr>
          <w:rFonts w:ascii="Times New Roman" w:hAnsi="Times New Roman"/>
          <w:sz w:val="40"/>
          <w:lang w:val="en-GB"/>
        </w:rPr>
        <w:t>ethods</w:t>
      </w:r>
    </w:p>
    <w:p w:rsidR="0026451D" w:rsidRPr="009E4801" w:rsidRDefault="0026451D" w:rsidP="0026451D">
      <w:pPr>
        <w:pStyle w:val="Heading2"/>
        <w:spacing w:before="0" w:after="0" w:line="480" w:lineRule="auto"/>
        <w:rPr>
          <w:rFonts w:ascii="Times New Roman" w:hAnsi="Times New Roman"/>
          <w:i w:val="0"/>
          <w:sz w:val="32"/>
          <w:lang w:val="en-GB"/>
        </w:rPr>
      </w:pPr>
      <w:proofErr w:type="gramStart"/>
      <w:r w:rsidRPr="009E4801">
        <w:rPr>
          <w:rFonts w:ascii="Times New Roman" w:hAnsi="Times New Roman"/>
          <w:i w:val="0"/>
          <w:sz w:val="32"/>
          <w:lang w:val="en-GB"/>
        </w:rPr>
        <w:t>Generation of the Bcl2-ARE</w:t>
      </w:r>
      <w:r w:rsidRPr="009E4801">
        <w:rPr>
          <w:rFonts w:ascii="Times New Roman" w:hAnsi="Times New Roman"/>
          <w:i w:val="0"/>
          <w:sz w:val="32"/>
          <w:vertAlign w:val="superscript"/>
          <w:lang w:val="en-GB"/>
        </w:rPr>
        <w:t>flox/</w:t>
      </w:r>
      <w:proofErr w:type="spellStart"/>
      <w:r w:rsidRPr="009E4801">
        <w:rPr>
          <w:rFonts w:ascii="Times New Roman" w:hAnsi="Times New Roman"/>
          <w:i w:val="0"/>
          <w:sz w:val="32"/>
          <w:vertAlign w:val="superscript"/>
          <w:lang w:val="en-GB"/>
        </w:rPr>
        <w:t>flox</w:t>
      </w:r>
      <w:proofErr w:type="spellEnd"/>
      <w:r w:rsidRPr="009E4801">
        <w:rPr>
          <w:rFonts w:ascii="Times New Roman" w:hAnsi="Times New Roman"/>
          <w:i w:val="0"/>
          <w:sz w:val="32"/>
          <w:lang w:val="en-GB"/>
        </w:rPr>
        <w:t xml:space="preserve"> mouse by </w:t>
      </w:r>
      <w:proofErr w:type="spellStart"/>
      <w:r w:rsidRPr="009E4801">
        <w:rPr>
          <w:rFonts w:ascii="Times New Roman" w:hAnsi="Times New Roman"/>
          <w:i w:val="0"/>
          <w:sz w:val="32"/>
          <w:lang w:val="en-GB"/>
        </w:rPr>
        <w:t>recombineering</w:t>
      </w:r>
      <w:proofErr w:type="spellEnd"/>
      <w:r w:rsidRPr="009E4801">
        <w:rPr>
          <w:rFonts w:ascii="Times New Roman" w:hAnsi="Times New Roman"/>
          <w:i w:val="0"/>
          <w:sz w:val="32"/>
          <w:lang w:val="en-GB"/>
        </w:rPr>
        <w:t>.</w:t>
      </w:r>
      <w:proofErr w:type="gramEnd"/>
    </w:p>
    <w:p w:rsidR="0026451D" w:rsidRPr="007D04F8" w:rsidRDefault="0026451D" w:rsidP="0026451D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Briefly, a 12.2 kb sequence containing the exon 2 of Bcl2 was cloned from BAC: RP23-405G16 into the pSC3Z vector. This pSC3Z vector was previously modified to introduce two homology arms to allow recombination in EL350 bacteria. Homology arms 1 and 2 were generated by PCR using the same BAC as DNA template. DNA cloning was performed after enzymatic digestion of the PCR fragments and the empty pSC3Z vector with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EcoRI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XhoI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and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BamHI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. The resulted plasmid after homology recombination in EL350 bacteria was called pSC3Z-Bcl2-unmodified. Two additional plasmid vectors were created following a similar strategy, in order to introduce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sites flanking the ARE rich sequence of Bcl2. Firstly, the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pGEM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-Neo-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vector was modified to introduce the homology arms 3 and 4, which flank a neomycin-selection cassette. The restriction enzymes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MluI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SpeI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(for cloning of the homology arm 3),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BglII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and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SacII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(to introduce the homology arm 4) were used. In order to improve mouse genotyping by Southern blot, the 5' primer used to generate the homology arm 3 contained a point mutation to create a new restriction site for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BsoBI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(absent in the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wt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allele). The resulting vector was called pGEM-Bcl2 Arms 3&amp;4. Secondly, the plasmid vector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pACN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-FRT-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tACE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Flp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PolII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-Neo-FRT-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was modified to add the homology arms 5 and 6. The restriction enzymes used for this purpose were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KpnI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SalI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(to clone the homology arm 5),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NheI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and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SacII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(to add the homology arm 6). Homology arms 5 and 6 were cloned flanking the cassette FRT-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tACE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Flp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PolII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-Neo-FRT-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. This cassette allows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Flp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-mediated recombination in chimeric mice. The resulting plasmid vector was called pACN-Bcl2 Arms 5&amp;6. </w:t>
      </w:r>
    </w:p>
    <w:p w:rsidR="0026451D" w:rsidRPr="007D04F8" w:rsidRDefault="0026451D" w:rsidP="0026451D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In order to introduce a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site at the 5’ end of the Bcl2 ARE, the pGEM-Bcl2 Arms 3&amp;4 was digested using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MluI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and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SacII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. The linear DNA sequence containing the neomycin-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lastRenderedPageBreak/>
        <w:t xml:space="preserve">selection cassette flanked by the homology arms 3 and 4 was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electroporated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(1.75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Kv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, 25 µF, 200 Ω) into EL350 bacteria containing the pSC3Z-Bcl2-unmodified plasmid vector. Before electroporation, EL350 bacteria were cultured at 32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o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C in LB media until they reached exponential growth. Expression of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exo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, bet and gam (the genes involved in homology recombination) was turned on by switching temperature to 42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o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C for 15 minutes. Next, cells were prepared for electroporation by removing salts after several washes with highly-pure water. Selection of positive clones was performed after bacteria culture on LB-Agar plates containing kanamycin </w:t>
      </w:r>
      <w:proofErr w:type="gramStart"/>
      <w:r w:rsidRPr="007D04F8">
        <w:rPr>
          <w:rFonts w:ascii="Times New Roman" w:hAnsi="Times New Roman"/>
          <w:bCs/>
          <w:sz w:val="24"/>
          <w:szCs w:val="24"/>
          <w:lang w:val="en-GB"/>
        </w:rPr>
        <w:t>(12.5 µg/ml)</w:t>
      </w:r>
      <w:proofErr w:type="gram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. The modified pSC3Z-Bcl2-loxP-Neo vector was purified and sub-cloned into Bm25.8 bacteria which constitutively express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Cre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recombinase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. Selection of colonies with a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-recombined vector (called pSC3Z-Bcl2-loxP) was carried out after enzymatic digestion of purified DNA with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NcoI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. The pSC3Z-Bcl2-loxP plasmid vector was introduced in EL350 bacteria by electroporation (1.75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Kv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, 25 µF, 200 Ω). Selection of positive clones was carried out using ampicillin.</w:t>
      </w:r>
    </w:p>
    <w:p w:rsidR="0026451D" w:rsidRPr="007D04F8" w:rsidRDefault="0026451D" w:rsidP="0026451D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Introduction of the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site at the 3’end of the Bcl2 ARE was performed as follows. First, linear DNA containing the FRT-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tACE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Flp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PolII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-Neo-FRT-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cassette flanked by the homology arms 5 and 6 was obtained by enzymatic digestion of the pACN-Bcl2 Arms 5&amp;6 plasmid vector with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KpnI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and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SacII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. This linear fragment was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electroporated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into EL350 bacteria containing the pSC3Z-Bcl2-loxP vector. Bacteria were prepared as indicated above in order to induce homologous recombination. Positive clones were selected after DNA plasmid digestion with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NcoI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. The final plasmid vector was called pSC3Z-Bcl2-loxP-FRT which contains the final construct for gene targeting of ES cells.</w:t>
      </w:r>
    </w:p>
    <w:p w:rsidR="0026451D" w:rsidRPr="007D04F8" w:rsidRDefault="0026451D" w:rsidP="0026451D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Extraction of the targeting construct from the pSC3Z-Bcl2-loxP-FRT vector was performed after double enzymatic digestion with FspA1 and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HpaI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. The linear targeting construct was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electroporated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into Bruce6 ES cells, which were further selected with neomycin. Positive targeted ES cells were identified by Southern blot using DNA probes 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lastRenderedPageBreak/>
        <w:t xml:space="preserve">generated by PCR. 2-4 positive ES cells were microinjected into mouse blastocysts from white-coated C57BL/6-Tyr mice in order to generate chimeric mice. Finally, FRT recombination was performed by breeding chimeric mice with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FLPe-tg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mice.   </w:t>
      </w:r>
    </w:p>
    <w:p w:rsidR="0026451D" w:rsidRPr="007D04F8" w:rsidRDefault="0026451D" w:rsidP="0026451D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Primer sequences to generate all homology arms and DNA probes for Southern blot are described in Table S1. Genomic location of PCR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amplicons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(GRCm38.p1 annotation) is also stated in the table. BAC: RP23-405G16 was used as DNA template. All restriction enzymes were purchased from NEB or Roche. DNA visualization on agarose gels was performed using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ethidium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bromide (Sigma). DNA extraction from agarose gels or bacterial extracts was performed using DNA extraction kits from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Qiagen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26451D" w:rsidRPr="007D04F8" w:rsidRDefault="0026451D" w:rsidP="0026451D">
      <w:pPr>
        <w:pStyle w:val="Heading2"/>
        <w:spacing w:before="0" w:after="0" w:line="480" w:lineRule="auto"/>
        <w:rPr>
          <w:rFonts w:ascii="Times New Roman" w:hAnsi="Times New Roman"/>
          <w:i w:val="0"/>
          <w:sz w:val="32"/>
          <w:lang w:val="en-GB"/>
        </w:rPr>
      </w:pPr>
      <w:r w:rsidRPr="007D04F8">
        <w:rPr>
          <w:rFonts w:ascii="Times New Roman" w:hAnsi="Times New Roman"/>
          <w:i w:val="0"/>
          <w:sz w:val="32"/>
          <w:lang w:val="en-GB"/>
        </w:rPr>
        <w:t xml:space="preserve">Mouse genotyping    </w:t>
      </w:r>
    </w:p>
    <w:p w:rsidR="0026451D" w:rsidRPr="007D04F8" w:rsidRDefault="0026451D" w:rsidP="0026451D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D04F8">
        <w:rPr>
          <w:rFonts w:ascii="Times New Roman" w:hAnsi="Times New Roman"/>
          <w:bCs/>
          <w:sz w:val="24"/>
          <w:szCs w:val="24"/>
          <w:lang w:val="en-GB"/>
        </w:rPr>
        <w:t>Genotyping of targeted ES cells and Bcl2-ARE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flox/</w:t>
      </w:r>
      <w:proofErr w:type="spellStart"/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flox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transgenic mouse lines was performed either by Southern blot or PCR. Genomic DNA was extracted from cells or mouse tails following the protocol from the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Puregene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DNA purification kit (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Qiagen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). Proteinase K was purchased from Roche. For Southern blot assays, DNA was digested using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BsoBI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restriction enzyme (overnight at 37°C). Then, DNA was separated in a 0.8% agarose gel and transferred to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Hybond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XL nylon membrane (GE Healthcare). DNA probes were generated by PCR and labelled with 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32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P-dCTP using the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Rediprime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II DNA Labelling System (GE Healthcare). The DNA probe was purified using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Illustra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Nick columns (GE Healthcare). Hybridization and detection by autoradiography was performed as previously described.   </w:t>
      </w:r>
    </w:p>
    <w:p w:rsidR="00437FD5" w:rsidRPr="007D04F8" w:rsidRDefault="0026451D" w:rsidP="0026451D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Mouse genotyping by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qPCR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was performed to test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germline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recombination of the Bcl2-ARE sequence in Bcl2-ARE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flox/</w:t>
      </w:r>
      <w:proofErr w:type="spellStart"/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flox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x mb1cre mice. Two different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qPCR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assays were designed. Assay A amplifies the intron-exon junction of Bcl2, which was not targeted. Assay B amplifies a region of 100 nucleotides inside the ARE, which it is flanked by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loxP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sites. </w:t>
      </w:r>
      <w:proofErr w:type="spellStart"/>
      <w:r w:rsidRPr="007D04F8">
        <w:rPr>
          <w:rFonts w:ascii="Times New Roman" w:hAnsi="Times New Roman"/>
          <w:bCs/>
          <w:sz w:val="24"/>
          <w:szCs w:val="24"/>
          <w:lang w:val="en-GB"/>
        </w:rPr>
        <w:t>qPCR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assays were performed using 15 ng</w:t>
      </w:r>
      <w:r w:rsidR="007D04F8">
        <w:rPr>
          <w:rFonts w:ascii="Times New Roman" w:hAnsi="Times New Roman"/>
          <w:bCs/>
          <w:sz w:val="24"/>
          <w:szCs w:val="24"/>
          <w:lang w:val="en-GB"/>
        </w:rPr>
        <w:t>.</w:t>
      </w:r>
      <w:bookmarkStart w:id="0" w:name="_GoBack"/>
      <w:bookmarkEnd w:id="0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of cDNA template and following the instructions from the manufacturer (SYBR Green PCR Master Mix, Life Tech). Relative DNA copy 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lastRenderedPageBreak/>
        <w:t>levels were calculated by applying the following formula (X</w:t>
      </w:r>
      <w:r w:rsidRPr="007D04F8">
        <w:rPr>
          <w:rFonts w:ascii="Times New Roman" w:hAnsi="Times New Roman"/>
          <w:bCs/>
          <w:sz w:val="24"/>
          <w:szCs w:val="24"/>
          <w:vertAlign w:val="subscript"/>
          <w:lang w:val="en-GB"/>
        </w:rPr>
        <w:t>A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=2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40-Ct value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for assay A and X</w:t>
      </w:r>
      <w:r w:rsidRPr="007D04F8">
        <w:rPr>
          <w:rFonts w:ascii="Times New Roman" w:hAnsi="Times New Roman"/>
          <w:bCs/>
          <w:sz w:val="24"/>
          <w:szCs w:val="24"/>
          <w:vertAlign w:val="subscript"/>
          <w:lang w:val="en-GB"/>
        </w:rPr>
        <w:t>B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=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240-Ct value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for assay B). In order to control for differences in PCR efficiency on assays A and B, a sample from a C57BL/6 mouse or a Bcl2-ARE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flox/</w:t>
      </w:r>
      <w:proofErr w:type="spellStart"/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flox</w:t>
      </w:r>
      <w:proofErr w:type="spellEnd"/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x mb1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wt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mouse was carried out as positive control in all experiments. Relative DNA copy levels for these positive controls were calculated similarly (C</w:t>
      </w:r>
      <w:r w:rsidRPr="007D04F8">
        <w:rPr>
          <w:rFonts w:ascii="Times New Roman" w:hAnsi="Times New Roman"/>
          <w:bCs/>
          <w:sz w:val="24"/>
          <w:szCs w:val="24"/>
          <w:vertAlign w:val="subscript"/>
          <w:lang w:val="en-GB"/>
        </w:rPr>
        <w:t>A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=2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40-Ct value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for assay A and C</w:t>
      </w:r>
      <w:r w:rsidRPr="007D04F8">
        <w:rPr>
          <w:rFonts w:ascii="Times New Roman" w:hAnsi="Times New Roman"/>
          <w:bCs/>
          <w:sz w:val="24"/>
          <w:szCs w:val="24"/>
          <w:vertAlign w:val="subscript"/>
          <w:lang w:val="en-GB"/>
        </w:rPr>
        <w:t>B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=2</w:t>
      </w:r>
      <w:r w:rsidRPr="007D04F8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40-Ct value</w:t>
      </w:r>
      <w:r w:rsidRPr="007D04F8">
        <w:rPr>
          <w:rFonts w:ascii="Times New Roman" w:hAnsi="Times New Roman"/>
          <w:bCs/>
          <w:sz w:val="24"/>
          <w:szCs w:val="24"/>
          <w:lang w:val="en-GB"/>
        </w:rPr>
        <w:t xml:space="preserve"> for assay B). The ratio B/A was calculated as follow: B/A ratio = XB * CA / XA * CB. Primer sequences are described in Table S1.</w:t>
      </w:r>
    </w:p>
    <w:sectPr w:rsidR="00437FD5" w:rsidRPr="007D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1D"/>
    <w:rsid w:val="0026451D"/>
    <w:rsid w:val="003A57EC"/>
    <w:rsid w:val="007D04F8"/>
    <w:rsid w:val="00E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1D"/>
    <w:rPr>
      <w:rFonts w:ascii="Calibri" w:eastAsia="Calibri" w:hAnsi="Calibri" w:cs="Times New Roman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5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5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51D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26451D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1D"/>
    <w:rPr>
      <w:rFonts w:ascii="Calibri" w:eastAsia="Calibri" w:hAnsi="Calibri" w:cs="Times New Roman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5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5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51D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26451D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diaz-munoz (BI)</dc:creator>
  <cp:lastModifiedBy>manuel diaz-munoz (BI)</cp:lastModifiedBy>
  <cp:revision>2</cp:revision>
  <dcterms:created xsi:type="dcterms:W3CDTF">2015-01-12T15:21:00Z</dcterms:created>
  <dcterms:modified xsi:type="dcterms:W3CDTF">2015-01-12T15:28:00Z</dcterms:modified>
</cp:coreProperties>
</file>