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200" w:rsidRDefault="003A6200" w:rsidP="003A6200">
      <w:pPr>
        <w:autoSpaceDE w:val="0"/>
        <w:autoSpaceDN w:val="0"/>
        <w:adjustRightInd w:val="0"/>
        <w:spacing w:after="0" w:line="480" w:lineRule="auto"/>
        <w:rPr>
          <w:rFonts w:ascii="Times New Roman" w:hAnsi="Times New Roman" w:cs="Times New Roman"/>
          <w:sz w:val="24"/>
          <w:szCs w:val="24"/>
        </w:rPr>
      </w:pPr>
      <w:bookmarkStart w:id="0" w:name="_GoBack"/>
      <w:bookmarkEnd w:id="0"/>
      <w:r w:rsidRPr="007F5AE7">
        <w:rPr>
          <w:rFonts w:ascii="Times New Roman" w:hAnsi="Times New Roman" w:cs="Times New Roman"/>
          <w:i/>
          <w:sz w:val="24"/>
          <w:szCs w:val="24"/>
        </w:rPr>
        <w:t>Nicotinamide adenine dinucleotide</w:t>
      </w:r>
      <w:r>
        <w:rPr>
          <w:rFonts w:ascii="Times New Roman" w:hAnsi="Times New Roman" w:cs="Times New Roman"/>
          <w:i/>
          <w:sz w:val="24"/>
          <w:szCs w:val="24"/>
        </w:rPr>
        <w:t xml:space="preserve"> (NAD)</w:t>
      </w:r>
      <w:r w:rsidRPr="005B09E9">
        <w:rPr>
          <w:rFonts w:ascii="Times New Roman" w:hAnsi="Times New Roman" w:cs="Times New Roman"/>
          <w:i/>
          <w:sz w:val="24"/>
          <w:szCs w:val="24"/>
        </w:rPr>
        <w:t xml:space="preserve"> Biosynthesis</w:t>
      </w:r>
      <w:r>
        <w:rPr>
          <w:rFonts w:ascii="Times New Roman" w:hAnsi="Times New Roman" w:cs="Times New Roman"/>
          <w:sz w:val="24"/>
          <w:szCs w:val="24"/>
        </w:rPr>
        <w:t xml:space="preserve"> </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It was previously shown that</w:t>
      </w:r>
      <w:r w:rsidRPr="005B09E9">
        <w:t xml:space="preserve"> </w:t>
      </w:r>
      <w:r w:rsidRPr="005B09E9">
        <w:rPr>
          <w:rFonts w:ascii="Times New Roman" w:hAnsi="Times New Roman" w:cs="Times New Roman"/>
          <w:sz w:val="24"/>
          <w:szCs w:val="24"/>
        </w:rPr>
        <w:t xml:space="preserve">FK866 inhibited </w:t>
      </w:r>
      <w:r>
        <w:rPr>
          <w:rFonts w:ascii="Times New Roman" w:hAnsi="Times New Roman" w:cs="Times New Roman"/>
          <w:sz w:val="24"/>
          <w:szCs w:val="24"/>
        </w:rPr>
        <w:t>NAD</w:t>
      </w:r>
      <w:r w:rsidRPr="005B09E9">
        <w:rPr>
          <w:rFonts w:ascii="Times New Roman" w:hAnsi="Times New Roman" w:cs="Times New Roman"/>
          <w:sz w:val="24"/>
          <w:szCs w:val="24"/>
        </w:rPr>
        <w:t xml:space="preserve"> </w:t>
      </w:r>
      <w:r>
        <w:rPr>
          <w:rFonts w:ascii="Times New Roman" w:hAnsi="Times New Roman" w:cs="Times New Roman"/>
          <w:sz w:val="24"/>
          <w:szCs w:val="24"/>
        </w:rPr>
        <w:t>biosynthesis</w:t>
      </w:r>
      <w:r w:rsidRPr="005B09E9">
        <w:rPr>
          <w:rFonts w:ascii="Times New Roman" w:hAnsi="Times New Roman" w:cs="Times New Roman"/>
          <w:sz w:val="24"/>
          <w:szCs w:val="24"/>
        </w:rPr>
        <w:t xml:space="preserve"> in both cell lines with the IC50 values of 0.5 and 1.4 nM</w:t>
      </w:r>
      <w:r>
        <w:rPr>
          <w:rFonts w:ascii="Times New Roman" w:hAnsi="Times New Roman" w:cs="Times New Roman"/>
          <w:sz w:val="24"/>
          <w:szCs w:val="24"/>
        </w:rPr>
        <w:t xml:space="preserve"> </w:t>
      </w:r>
      <w:r w:rsidRPr="005B09E9">
        <w:rPr>
          <w:rFonts w:ascii="Times New Roman" w:hAnsi="Times New Roman" w:cs="Times New Roman"/>
          <w:sz w:val="24"/>
          <w:szCs w:val="24"/>
        </w:rPr>
        <w:t>for A2780 and 0.5 and 3.0 nM for HCT116, respectively</w:t>
      </w:r>
      <w:r>
        <w:rPr>
          <w:rFonts w:ascii="Times New Roman" w:hAnsi="Times New Roman" w:cs="Times New Roman"/>
          <w:sz w:val="24"/>
          <w:szCs w:val="24"/>
        </w:rPr>
        <w:t xml:space="preserve"> [1]</w:t>
      </w:r>
      <w:r w:rsidRPr="005B09E9">
        <w:rPr>
          <w:rFonts w:ascii="Times New Roman" w:hAnsi="Times New Roman" w:cs="Times New Roman"/>
          <w:sz w:val="24"/>
          <w:szCs w:val="24"/>
        </w:rPr>
        <w:t>. I</w:t>
      </w:r>
      <w:r>
        <w:rPr>
          <w:rFonts w:ascii="Times New Roman" w:hAnsi="Times New Roman" w:cs="Times New Roman"/>
          <w:sz w:val="24"/>
          <w:szCs w:val="24"/>
        </w:rPr>
        <w:t>t was also shown that</w:t>
      </w:r>
      <w:r w:rsidRPr="005B09E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B09E9">
        <w:rPr>
          <w:rFonts w:ascii="Times New Roman" w:hAnsi="Times New Roman" w:cs="Times New Roman"/>
          <w:sz w:val="24"/>
          <w:szCs w:val="24"/>
        </w:rPr>
        <w:t>addi</w:t>
      </w:r>
      <w:r>
        <w:rPr>
          <w:rFonts w:ascii="Times New Roman" w:hAnsi="Times New Roman" w:cs="Times New Roman"/>
          <w:sz w:val="24"/>
          <w:szCs w:val="24"/>
        </w:rPr>
        <w:t>tion of</w:t>
      </w:r>
      <w:r w:rsidRPr="005B09E9">
        <w:rPr>
          <w:rFonts w:ascii="Times New Roman" w:hAnsi="Times New Roman" w:cs="Times New Roman"/>
          <w:sz w:val="24"/>
          <w:szCs w:val="24"/>
        </w:rPr>
        <w:t xml:space="preserve"> nicotinic</w:t>
      </w:r>
      <w:r>
        <w:rPr>
          <w:rFonts w:ascii="Times New Roman" w:hAnsi="Times New Roman" w:cs="Times New Roman"/>
          <w:sz w:val="24"/>
          <w:szCs w:val="24"/>
        </w:rPr>
        <w:t xml:space="preserve"> </w:t>
      </w:r>
      <w:r w:rsidRPr="005B09E9">
        <w:rPr>
          <w:rFonts w:ascii="Times New Roman" w:hAnsi="Times New Roman" w:cs="Times New Roman"/>
          <w:sz w:val="24"/>
          <w:szCs w:val="24"/>
        </w:rPr>
        <w:t xml:space="preserve">acid to the growth medium </w:t>
      </w:r>
      <w:r>
        <w:rPr>
          <w:rFonts w:ascii="Times New Roman" w:hAnsi="Times New Roman" w:cs="Times New Roman"/>
          <w:sz w:val="24"/>
          <w:szCs w:val="24"/>
        </w:rPr>
        <w:t xml:space="preserve">can reverse </w:t>
      </w:r>
      <w:r w:rsidRPr="005B09E9">
        <w:rPr>
          <w:rFonts w:ascii="Times New Roman" w:hAnsi="Times New Roman" w:cs="Times New Roman"/>
          <w:sz w:val="24"/>
          <w:szCs w:val="24"/>
        </w:rPr>
        <w:t>FK866 inhibitory</w:t>
      </w:r>
      <w:r>
        <w:rPr>
          <w:rFonts w:ascii="Times New Roman" w:hAnsi="Times New Roman" w:cs="Times New Roman"/>
          <w:sz w:val="24"/>
          <w:szCs w:val="24"/>
        </w:rPr>
        <w:t xml:space="preserve"> </w:t>
      </w:r>
      <w:r w:rsidRPr="005B09E9">
        <w:rPr>
          <w:rFonts w:ascii="Times New Roman" w:hAnsi="Times New Roman" w:cs="Times New Roman"/>
          <w:sz w:val="24"/>
          <w:szCs w:val="24"/>
        </w:rPr>
        <w:t xml:space="preserve">activity against HCT116 </w:t>
      </w:r>
      <w:r>
        <w:rPr>
          <w:rFonts w:ascii="Times New Roman" w:hAnsi="Times New Roman" w:cs="Times New Roman"/>
          <w:sz w:val="24"/>
          <w:szCs w:val="24"/>
        </w:rPr>
        <w:t xml:space="preserve">cells </w:t>
      </w:r>
      <w:r w:rsidRPr="005B09E9">
        <w:rPr>
          <w:rFonts w:ascii="Times New Roman" w:hAnsi="Times New Roman" w:cs="Times New Roman"/>
          <w:sz w:val="24"/>
          <w:szCs w:val="24"/>
        </w:rPr>
        <w:t>but not A2780</w:t>
      </w:r>
      <w:r>
        <w:rPr>
          <w:rFonts w:ascii="Times New Roman" w:hAnsi="Times New Roman" w:cs="Times New Roman"/>
          <w:sz w:val="24"/>
          <w:szCs w:val="24"/>
        </w:rPr>
        <w:t xml:space="preserve"> cells [2]</w:t>
      </w:r>
      <w:r w:rsidRPr="005B09E9">
        <w:rPr>
          <w:rFonts w:ascii="Times New Roman" w:hAnsi="Times New Roman" w:cs="Times New Roman"/>
          <w:sz w:val="24"/>
          <w:szCs w:val="24"/>
        </w:rPr>
        <w:t xml:space="preserve">. </w:t>
      </w:r>
      <w:r>
        <w:rPr>
          <w:rFonts w:ascii="Times New Roman" w:hAnsi="Times New Roman" w:cs="Times New Roman"/>
          <w:sz w:val="24"/>
          <w:szCs w:val="24"/>
        </w:rPr>
        <w:t>Our metabolomics study confirmed this observation. Changes in the levels of NAD and the related detected metabolites are illustrated in Supplementary Figure 1. Depletion of NAD, reduced n</w:t>
      </w:r>
      <w:r w:rsidRPr="00E678CC">
        <w:rPr>
          <w:rFonts w:ascii="Times New Roman" w:hAnsi="Times New Roman" w:cs="Times New Roman"/>
          <w:sz w:val="24"/>
          <w:szCs w:val="24"/>
        </w:rPr>
        <w:t>icotinamide adenine dinucleotide</w:t>
      </w:r>
      <w:r>
        <w:rPr>
          <w:rFonts w:ascii="Times New Roman" w:hAnsi="Times New Roman" w:cs="Times New Roman"/>
          <w:sz w:val="24"/>
          <w:szCs w:val="24"/>
        </w:rPr>
        <w:t xml:space="preserve"> (NADH), and </w:t>
      </w:r>
      <w:r w:rsidRPr="00E678CC">
        <w:rPr>
          <w:rFonts w:ascii="Times New Roman" w:hAnsi="Times New Roman" w:cs="Times New Roman"/>
          <w:sz w:val="24"/>
          <w:szCs w:val="24"/>
        </w:rPr>
        <w:t>nicotinamide adenine dinucleotide phosphate</w:t>
      </w:r>
      <w:r>
        <w:rPr>
          <w:rFonts w:ascii="Times New Roman" w:hAnsi="Times New Roman" w:cs="Times New Roman"/>
          <w:sz w:val="24"/>
          <w:szCs w:val="24"/>
        </w:rPr>
        <w:t xml:space="preserve"> (NADP) at </w:t>
      </w:r>
      <w:r w:rsidRPr="009A0ACB">
        <w:rPr>
          <w:rFonts w:ascii="Times New Roman" w:hAnsi="Times New Roman" w:cs="Times New Roman"/>
          <w:sz w:val="24"/>
          <w:szCs w:val="24"/>
        </w:rPr>
        <w:t xml:space="preserve">nicotinamide phosphoribosyltransferase </w:t>
      </w:r>
      <w:r>
        <w:rPr>
          <w:rFonts w:ascii="Times New Roman" w:hAnsi="Times New Roman" w:cs="Times New Roman"/>
          <w:sz w:val="24"/>
          <w:szCs w:val="24"/>
        </w:rPr>
        <w:t xml:space="preserve">(NAMPT) inhibition with </w:t>
      </w:r>
      <w:r w:rsidRPr="005B09E9">
        <w:rPr>
          <w:rFonts w:ascii="Times New Roman" w:hAnsi="Times New Roman" w:cs="Times New Roman"/>
          <w:sz w:val="24"/>
          <w:szCs w:val="24"/>
        </w:rPr>
        <w:t>FK866</w:t>
      </w:r>
      <w:r>
        <w:rPr>
          <w:rFonts w:ascii="Times New Roman" w:hAnsi="Times New Roman" w:cs="Times New Roman"/>
          <w:sz w:val="24"/>
          <w:szCs w:val="24"/>
        </w:rPr>
        <w:t xml:space="preserve"> can be reversed with the addition of nicotinic acid for HCT116 cells but for A2780 cells. The same changes in levels of n</w:t>
      </w:r>
      <w:r w:rsidRPr="00E678CC">
        <w:rPr>
          <w:rFonts w:ascii="Times New Roman" w:hAnsi="Times New Roman" w:cs="Times New Roman"/>
          <w:sz w:val="24"/>
          <w:szCs w:val="24"/>
        </w:rPr>
        <w:t>icotinamide mononucleotide</w:t>
      </w:r>
      <w:r>
        <w:rPr>
          <w:rFonts w:ascii="Times New Roman" w:hAnsi="Times New Roman" w:cs="Times New Roman"/>
          <w:sz w:val="24"/>
          <w:szCs w:val="24"/>
        </w:rPr>
        <w:t xml:space="preserve"> (NMN), c</w:t>
      </w:r>
      <w:r w:rsidRPr="00E678CC">
        <w:rPr>
          <w:rFonts w:ascii="Times New Roman" w:hAnsi="Times New Roman" w:cs="Times New Roman"/>
          <w:sz w:val="24"/>
          <w:szCs w:val="24"/>
        </w:rPr>
        <w:t xml:space="preserve">yclic </w:t>
      </w:r>
      <w:r>
        <w:rPr>
          <w:rFonts w:ascii="Times New Roman" w:hAnsi="Times New Roman" w:cs="Times New Roman"/>
          <w:sz w:val="24"/>
          <w:szCs w:val="24"/>
        </w:rPr>
        <w:t>a</w:t>
      </w:r>
      <w:r w:rsidRPr="00E678CC">
        <w:rPr>
          <w:rFonts w:ascii="Times New Roman" w:hAnsi="Times New Roman" w:cs="Times New Roman"/>
          <w:sz w:val="24"/>
          <w:szCs w:val="24"/>
        </w:rPr>
        <w:t xml:space="preserve">denosine </w:t>
      </w:r>
      <w:r>
        <w:rPr>
          <w:rFonts w:ascii="Times New Roman" w:hAnsi="Times New Roman" w:cs="Times New Roman"/>
          <w:sz w:val="24"/>
          <w:szCs w:val="24"/>
        </w:rPr>
        <w:t>a</w:t>
      </w:r>
      <w:r w:rsidRPr="00E678CC">
        <w:rPr>
          <w:rFonts w:ascii="Times New Roman" w:hAnsi="Times New Roman" w:cs="Times New Roman"/>
          <w:sz w:val="24"/>
          <w:szCs w:val="24"/>
        </w:rPr>
        <w:t xml:space="preserve">iphosphate </w:t>
      </w:r>
      <w:r>
        <w:rPr>
          <w:rFonts w:ascii="Times New Roman" w:hAnsi="Times New Roman" w:cs="Times New Roman"/>
          <w:sz w:val="24"/>
          <w:szCs w:val="24"/>
        </w:rPr>
        <w:t>r</w:t>
      </w:r>
      <w:r w:rsidRPr="00E678CC">
        <w:rPr>
          <w:rFonts w:ascii="Times New Roman" w:hAnsi="Times New Roman" w:cs="Times New Roman"/>
          <w:sz w:val="24"/>
          <w:szCs w:val="24"/>
        </w:rPr>
        <w:t>ibose</w:t>
      </w:r>
      <w:r>
        <w:rPr>
          <w:rFonts w:ascii="Times New Roman" w:hAnsi="Times New Roman" w:cs="Times New Roman"/>
          <w:sz w:val="24"/>
          <w:szCs w:val="24"/>
        </w:rPr>
        <w:t>, u</w:t>
      </w:r>
      <w:r w:rsidRPr="00E678CC">
        <w:rPr>
          <w:rFonts w:ascii="Times New Roman" w:hAnsi="Times New Roman" w:cs="Times New Roman"/>
          <w:sz w:val="24"/>
          <w:szCs w:val="24"/>
        </w:rPr>
        <w:t>ridine diphosphoglucuronic acid</w:t>
      </w:r>
      <w:r>
        <w:rPr>
          <w:rFonts w:ascii="Times New Roman" w:hAnsi="Times New Roman" w:cs="Times New Roman"/>
          <w:sz w:val="24"/>
          <w:szCs w:val="24"/>
        </w:rPr>
        <w:t>, and u</w:t>
      </w:r>
      <w:r w:rsidRPr="00E678CC">
        <w:rPr>
          <w:rFonts w:ascii="Times New Roman" w:hAnsi="Times New Roman" w:cs="Times New Roman"/>
          <w:sz w:val="24"/>
          <w:szCs w:val="24"/>
        </w:rPr>
        <w:t>ridine diphospho</w:t>
      </w:r>
      <w:r>
        <w:rPr>
          <w:rFonts w:ascii="Times New Roman" w:hAnsi="Times New Roman" w:cs="Times New Roman"/>
          <w:sz w:val="24"/>
          <w:szCs w:val="24"/>
        </w:rPr>
        <w:t xml:space="preserve"> n-acetyl glucosamine were observed (Supplemental Material S3-S5).</w:t>
      </w:r>
    </w:p>
    <w:p w:rsidR="003A6200" w:rsidRDefault="003A6200" w:rsidP="003A6200">
      <w:pPr>
        <w:autoSpaceDE w:val="0"/>
        <w:autoSpaceDN w:val="0"/>
        <w:adjustRightInd w:val="0"/>
        <w:spacing w:after="0" w:line="24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jc w:val="center"/>
        <w:rPr>
          <w:rFonts w:ascii="Times New Roman" w:hAnsi="Times New Roman" w:cs="Times New Roman"/>
          <w:sz w:val="24"/>
          <w:szCs w:val="24"/>
        </w:rPr>
      </w:pPr>
      <w:r>
        <w:rPr>
          <w:noProof/>
        </w:rPr>
        <w:lastRenderedPageBreak/>
        <w:drawing>
          <wp:inline distT="0" distB="0" distL="0" distR="0" wp14:anchorId="3CD6C186" wp14:editId="15CAFD83">
            <wp:extent cx="486283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4862830" cy="8229600"/>
                    </a:xfrm>
                    <a:prstGeom prst="rect">
                      <a:avLst/>
                    </a:prstGeom>
                  </pic:spPr>
                </pic:pic>
              </a:graphicData>
            </a:graphic>
          </wp:inline>
        </w:drawing>
      </w:r>
    </w:p>
    <w:p w:rsidR="003A6200" w:rsidRDefault="003A6200" w:rsidP="003A6200">
      <w:pPr>
        <w:autoSpaceDE w:val="0"/>
        <w:autoSpaceDN w:val="0"/>
        <w:adjustRightInd w:val="0"/>
        <w:spacing w:after="0" w:line="240" w:lineRule="auto"/>
        <w:jc w:val="center"/>
        <w:rPr>
          <w:rFonts w:ascii="Times New Roman" w:hAnsi="Times New Roman" w:cs="Times New Roman"/>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Supplementary Figure 1. One-way analysis of variance box plots illustrating the observed level c</w:t>
      </w:r>
      <w:r w:rsidRPr="009A574E">
        <w:rPr>
          <w:rFonts w:ascii="Times New Roman" w:hAnsi="Times New Roman" w:cs="Times New Roman"/>
          <w:sz w:val="24"/>
          <w:szCs w:val="24"/>
        </w:rPr>
        <w:t xml:space="preserve">hanges of </w:t>
      </w:r>
      <w:r>
        <w:rPr>
          <w:rFonts w:ascii="Times New Roman" w:hAnsi="Times New Roman" w:cs="Times New Roman"/>
          <w:sz w:val="24"/>
          <w:szCs w:val="24"/>
        </w:rPr>
        <w:t>NAD, NADP, NADH, NMN, nicotinamide, and nicotinic acid</w:t>
      </w:r>
      <w:r w:rsidRPr="009A574E">
        <w:rPr>
          <w:rFonts w:ascii="Times New Roman" w:hAnsi="Times New Roman" w:cs="Times New Roman"/>
          <w:sz w:val="24"/>
          <w:szCs w:val="24"/>
        </w:rPr>
        <w:t xml:space="preserve"> levels after FK866 treatment </w:t>
      </w:r>
      <w:r>
        <w:rPr>
          <w:rFonts w:ascii="Times New Roman" w:hAnsi="Times New Roman" w:cs="Times New Roman"/>
          <w:sz w:val="24"/>
          <w:szCs w:val="24"/>
        </w:rPr>
        <w:t xml:space="preserve">at 50 and 5 nM concentrations in A2780 (left panels) and HCT116 (right panels) cells, respectively, with (+NA) and without (–NA) nicotinic acid addition. </w:t>
      </w:r>
      <w:r w:rsidRPr="00F30CEB">
        <w:rPr>
          <w:rFonts w:ascii="Times New Roman" w:hAnsi="Times New Roman" w:cs="Times New Roman"/>
          <w:sz w:val="24"/>
          <w:szCs w:val="24"/>
        </w:rPr>
        <w:t>Gr</w:t>
      </w:r>
      <w:r>
        <w:rPr>
          <w:rFonts w:ascii="Times New Roman" w:hAnsi="Times New Roman" w:cs="Times New Roman"/>
          <w:sz w:val="24"/>
          <w:szCs w:val="24"/>
        </w:rPr>
        <w:t xml:space="preserve">and mean is shown </w:t>
      </w:r>
      <w:r w:rsidRPr="00F30CEB">
        <w:rPr>
          <w:rFonts w:ascii="Times New Roman" w:hAnsi="Times New Roman" w:cs="Times New Roman"/>
          <w:sz w:val="24"/>
          <w:szCs w:val="24"/>
        </w:rPr>
        <w:t>as a horizo</w:t>
      </w:r>
      <w:r>
        <w:rPr>
          <w:rFonts w:ascii="Times New Roman" w:hAnsi="Times New Roman" w:cs="Times New Roman"/>
          <w:sz w:val="24"/>
          <w:szCs w:val="24"/>
        </w:rPr>
        <w:t>ntal line located within panel</w:t>
      </w:r>
      <w:r w:rsidRPr="00F30CEB">
        <w:rPr>
          <w:rFonts w:ascii="Times New Roman" w:hAnsi="Times New Roman" w:cs="Times New Roman"/>
          <w:sz w:val="24"/>
          <w:szCs w:val="24"/>
        </w:rPr>
        <w:t xml:space="preserve">. </w:t>
      </w:r>
      <w:r>
        <w:rPr>
          <w:rFonts w:ascii="Times New Roman" w:hAnsi="Times New Roman" w:cs="Times New Roman"/>
          <w:sz w:val="24"/>
          <w:szCs w:val="24"/>
        </w:rPr>
        <w:t>The y-</w:t>
      </w:r>
      <w:r w:rsidRPr="00F30CEB">
        <w:rPr>
          <w:rFonts w:ascii="Times New Roman" w:hAnsi="Times New Roman" w:cs="Times New Roman"/>
          <w:sz w:val="24"/>
          <w:szCs w:val="24"/>
        </w:rPr>
        <w:t xml:space="preserve">axis illustrates </w:t>
      </w:r>
      <w:r>
        <w:rPr>
          <w:rFonts w:ascii="Times New Roman" w:hAnsi="Times New Roman" w:cs="Times New Roman"/>
          <w:sz w:val="24"/>
          <w:szCs w:val="24"/>
        </w:rPr>
        <w:t xml:space="preserve">the </w:t>
      </w:r>
      <w:r w:rsidRPr="00F30CEB">
        <w:rPr>
          <w:rFonts w:ascii="Times New Roman" w:hAnsi="Times New Roman" w:cs="Times New Roman"/>
          <w:sz w:val="24"/>
          <w:szCs w:val="24"/>
        </w:rPr>
        <w:t>normalized, log transformed</w:t>
      </w:r>
      <w:r>
        <w:rPr>
          <w:rFonts w:ascii="Times New Roman" w:hAnsi="Times New Roman" w:cs="Times New Roman"/>
          <w:sz w:val="24"/>
          <w:szCs w:val="24"/>
        </w:rPr>
        <w:t>,</w:t>
      </w:r>
      <w:r w:rsidRPr="00F30CEB">
        <w:rPr>
          <w:rFonts w:ascii="Times New Roman" w:hAnsi="Times New Roman" w:cs="Times New Roman"/>
          <w:sz w:val="24"/>
          <w:szCs w:val="24"/>
        </w:rPr>
        <w:t xml:space="preserve"> and scaled peak area.</w:t>
      </w:r>
      <w:r>
        <w:rPr>
          <w:rFonts w:ascii="Times New Roman" w:hAnsi="Times New Roman" w:cs="Times New Roman"/>
          <w:sz w:val="24"/>
          <w:szCs w:val="24"/>
        </w:rPr>
        <w:t xml:space="preserve"> Dots represent samples. Group mean is shown as a horizontal line within the box.</w:t>
      </w:r>
    </w:p>
    <w:p w:rsidR="003A6200" w:rsidRDefault="003A6200" w:rsidP="003A6200">
      <w:pPr>
        <w:autoSpaceDE w:val="0"/>
        <w:autoSpaceDN w:val="0"/>
        <w:adjustRightInd w:val="0"/>
        <w:spacing w:after="0" w:line="240" w:lineRule="auto"/>
        <w:rPr>
          <w:rFonts w:ascii="Times New Roman" w:hAnsi="Times New Roman" w:cs="Times New Roman"/>
          <w:i/>
          <w:sz w:val="24"/>
          <w:szCs w:val="24"/>
        </w:rPr>
      </w:pPr>
    </w:p>
    <w:p w:rsidR="003A6200" w:rsidRDefault="003A6200" w:rsidP="003A6200">
      <w:pPr>
        <w:autoSpaceDE w:val="0"/>
        <w:autoSpaceDN w:val="0"/>
        <w:adjustRightInd w:val="0"/>
        <w:spacing w:after="0" w:line="480" w:lineRule="auto"/>
        <w:rPr>
          <w:rFonts w:ascii="Times New Roman" w:hAnsi="Times New Roman" w:cs="Times New Roman"/>
          <w:i/>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sidRPr="007E59F3">
        <w:rPr>
          <w:rFonts w:ascii="Times New Roman" w:hAnsi="Times New Roman" w:cs="Times New Roman"/>
          <w:i/>
          <w:sz w:val="24"/>
          <w:szCs w:val="24"/>
        </w:rPr>
        <w:t>Adenosine Triphosphate</w:t>
      </w:r>
      <w:r>
        <w:rPr>
          <w:rFonts w:ascii="Times New Roman" w:hAnsi="Times New Roman" w:cs="Times New Roman"/>
          <w:i/>
          <w:sz w:val="24"/>
          <w:szCs w:val="24"/>
        </w:rPr>
        <w:t xml:space="preserve"> (</w:t>
      </w:r>
      <w:r w:rsidRPr="00C95AD1">
        <w:rPr>
          <w:rFonts w:ascii="Times New Roman" w:hAnsi="Times New Roman" w:cs="Times New Roman"/>
          <w:i/>
          <w:sz w:val="24"/>
          <w:szCs w:val="24"/>
        </w:rPr>
        <w:t>ATP</w:t>
      </w:r>
      <w:r>
        <w:rPr>
          <w:rFonts w:ascii="Times New Roman" w:hAnsi="Times New Roman" w:cs="Times New Roman"/>
          <w:i/>
          <w:sz w:val="24"/>
          <w:szCs w:val="24"/>
        </w:rPr>
        <w:t>)</w:t>
      </w:r>
      <w:r w:rsidRPr="00C95AD1">
        <w:rPr>
          <w:rFonts w:ascii="Times New Roman" w:hAnsi="Times New Roman" w:cs="Times New Roman"/>
          <w:i/>
          <w:sz w:val="24"/>
          <w:szCs w:val="24"/>
        </w:rPr>
        <w:t xml:space="preserve"> </w:t>
      </w:r>
      <w:r>
        <w:rPr>
          <w:rFonts w:ascii="Times New Roman" w:hAnsi="Times New Roman" w:cs="Times New Roman"/>
          <w:i/>
          <w:sz w:val="24"/>
          <w:szCs w:val="24"/>
        </w:rPr>
        <w:t>Alterations</w:t>
      </w:r>
      <w:r>
        <w:rPr>
          <w:rFonts w:ascii="Times New Roman" w:hAnsi="Times New Roman" w:cs="Times New Roman"/>
          <w:sz w:val="24"/>
          <w:szCs w:val="24"/>
        </w:rPr>
        <w:t xml:space="preserve"> </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It was reported that </w:t>
      </w:r>
      <w:r w:rsidRPr="000672BA">
        <w:rPr>
          <w:rFonts w:ascii="Times New Roman" w:hAnsi="Times New Roman" w:cs="Times New Roman"/>
          <w:sz w:val="24"/>
          <w:szCs w:val="24"/>
        </w:rPr>
        <w:t xml:space="preserve">FK866 </w:t>
      </w:r>
      <w:r>
        <w:rPr>
          <w:rFonts w:ascii="Times New Roman" w:hAnsi="Times New Roman" w:cs="Times New Roman"/>
          <w:sz w:val="24"/>
          <w:szCs w:val="24"/>
        </w:rPr>
        <w:t xml:space="preserve">can induce </w:t>
      </w:r>
      <w:r w:rsidRPr="000672BA">
        <w:rPr>
          <w:rFonts w:ascii="Times New Roman" w:hAnsi="Times New Roman" w:cs="Times New Roman"/>
          <w:sz w:val="24"/>
          <w:szCs w:val="24"/>
        </w:rPr>
        <w:t>a delayed cell death of</w:t>
      </w:r>
      <w:r>
        <w:rPr>
          <w:rFonts w:ascii="Times New Roman" w:hAnsi="Times New Roman" w:cs="Times New Roman"/>
          <w:sz w:val="24"/>
          <w:szCs w:val="24"/>
        </w:rPr>
        <w:t xml:space="preserve"> A2780</w:t>
      </w:r>
      <w:r w:rsidRPr="000672BA">
        <w:rPr>
          <w:rFonts w:ascii="Times New Roman" w:hAnsi="Times New Roman" w:cs="Times New Roman"/>
          <w:sz w:val="24"/>
          <w:szCs w:val="24"/>
        </w:rPr>
        <w:t xml:space="preserve"> human cancer cells</w:t>
      </w:r>
      <w:r>
        <w:rPr>
          <w:rFonts w:ascii="Times New Roman" w:hAnsi="Times New Roman" w:cs="Times New Roman"/>
          <w:sz w:val="24"/>
          <w:szCs w:val="24"/>
        </w:rPr>
        <w:t xml:space="preserve"> at 100 nM concentration after 60 hours of exposure [2,3]</w:t>
      </w:r>
      <w:r w:rsidRPr="000672BA">
        <w:rPr>
          <w:rFonts w:ascii="Times New Roman" w:hAnsi="Times New Roman" w:cs="Times New Roman"/>
          <w:sz w:val="24"/>
          <w:szCs w:val="24"/>
        </w:rPr>
        <w:t>.</w:t>
      </w:r>
      <w:r>
        <w:rPr>
          <w:rFonts w:ascii="Times New Roman" w:hAnsi="Times New Roman" w:cs="Times New Roman"/>
          <w:sz w:val="24"/>
          <w:szCs w:val="24"/>
        </w:rPr>
        <w:t xml:space="preserve"> It was thought to be associated with a delayed ATP level decrease in cancer cells. ATP and NAD levels were reported to decrease 40 hours after treatment [2].</w:t>
      </w:r>
      <w:r w:rsidRPr="000672BA">
        <w:rPr>
          <w:rFonts w:ascii="Times New Roman" w:hAnsi="Times New Roman" w:cs="Times New Roman"/>
          <w:sz w:val="24"/>
          <w:szCs w:val="24"/>
        </w:rPr>
        <w:t xml:space="preserve"> </w:t>
      </w:r>
      <w:r>
        <w:rPr>
          <w:rFonts w:ascii="Times New Roman" w:hAnsi="Times New Roman" w:cs="Times New Roman"/>
          <w:sz w:val="24"/>
          <w:szCs w:val="24"/>
        </w:rPr>
        <w:t>Our study showed that in A2780 cells, the ATP levels were not depleted within 24 hours. However, in HCT116 cells, the ATP levels were reduced after treatment with FK866 and observed changes in the ATP levels were alleviated with the addition of nicotinic acid (Supplementary Figure 2), indicating that the HCT116 cells are more sensitive than the A2780 cells. Interestingly, a slight increase of ATP levels was observed in A2780 cells in response to treatment with FK866. Nicotinic acid treatment abolished this effect. This observation confirms a cell-specific response to the applied treatments.</w:t>
      </w:r>
    </w:p>
    <w:p w:rsidR="003A6200" w:rsidRPr="00E70D4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rPr>
          <w:rFonts w:ascii="Times New Roman" w:hAnsi="Times New Roman" w:cs="Times New Roman"/>
          <w:i/>
          <w:sz w:val="24"/>
          <w:szCs w:val="24"/>
        </w:rPr>
      </w:pPr>
      <w:r>
        <w:rPr>
          <w:noProof/>
        </w:rPr>
        <w:lastRenderedPageBreak/>
        <w:drawing>
          <wp:inline distT="0" distB="0" distL="0" distR="0" wp14:anchorId="276C372D" wp14:editId="7D8D6FBE">
            <wp:extent cx="5943600" cy="167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3600" cy="1679575"/>
                    </a:xfrm>
                    <a:prstGeom prst="rect">
                      <a:avLst/>
                    </a:prstGeom>
                  </pic:spPr>
                </pic:pic>
              </a:graphicData>
            </a:graphic>
          </wp:inline>
        </w:drawing>
      </w:r>
    </w:p>
    <w:p w:rsidR="003A6200" w:rsidRDefault="003A6200" w:rsidP="003A6200">
      <w:pPr>
        <w:autoSpaceDE w:val="0"/>
        <w:autoSpaceDN w:val="0"/>
        <w:adjustRightInd w:val="0"/>
        <w:spacing w:after="0" w:line="240" w:lineRule="auto"/>
        <w:rPr>
          <w:rFonts w:ascii="Times New Roman" w:hAnsi="Times New Roman" w:cs="Times New Roman"/>
          <w:i/>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Supplementary Figure 2. One-way analysis of variance</w:t>
      </w:r>
      <w:r w:rsidDel="00656947">
        <w:rPr>
          <w:rFonts w:ascii="Times New Roman" w:hAnsi="Times New Roman" w:cs="Times New Roman"/>
          <w:sz w:val="24"/>
          <w:szCs w:val="24"/>
        </w:rPr>
        <w:t xml:space="preserve"> </w:t>
      </w:r>
      <w:r>
        <w:rPr>
          <w:rFonts w:ascii="Times New Roman" w:hAnsi="Times New Roman" w:cs="Times New Roman"/>
          <w:sz w:val="24"/>
          <w:szCs w:val="24"/>
        </w:rPr>
        <w:t xml:space="preserve">box plots illustrating observed changes of ATP levels after FK866 treatment at 50 and 5 nM concentrations in A2780 (left panel) and HCT116 (right panel) cells, respectively, with (+NA) and without (–NA) nicotinic acid addition. </w:t>
      </w:r>
      <w:r w:rsidRPr="00F30CEB">
        <w:rPr>
          <w:rFonts w:ascii="Times New Roman" w:hAnsi="Times New Roman" w:cs="Times New Roman"/>
          <w:sz w:val="24"/>
          <w:szCs w:val="24"/>
        </w:rPr>
        <w:t>Gr</w:t>
      </w:r>
      <w:r>
        <w:rPr>
          <w:rFonts w:ascii="Times New Roman" w:hAnsi="Times New Roman" w:cs="Times New Roman"/>
          <w:sz w:val="24"/>
          <w:szCs w:val="24"/>
        </w:rPr>
        <w:t xml:space="preserve">and mean is shown </w:t>
      </w:r>
      <w:r w:rsidRPr="00F30CEB">
        <w:rPr>
          <w:rFonts w:ascii="Times New Roman" w:hAnsi="Times New Roman" w:cs="Times New Roman"/>
          <w:sz w:val="24"/>
          <w:szCs w:val="24"/>
        </w:rPr>
        <w:t>as a horizo</w:t>
      </w:r>
      <w:r>
        <w:rPr>
          <w:rFonts w:ascii="Times New Roman" w:hAnsi="Times New Roman" w:cs="Times New Roman"/>
          <w:sz w:val="24"/>
          <w:szCs w:val="24"/>
        </w:rPr>
        <w:t>ntal line located within panel</w:t>
      </w:r>
      <w:r w:rsidRPr="00F30CEB">
        <w:rPr>
          <w:rFonts w:ascii="Times New Roman" w:hAnsi="Times New Roman" w:cs="Times New Roman"/>
          <w:sz w:val="24"/>
          <w:szCs w:val="24"/>
        </w:rPr>
        <w:t xml:space="preserve">. </w:t>
      </w:r>
      <w:r>
        <w:rPr>
          <w:rFonts w:ascii="Times New Roman" w:hAnsi="Times New Roman" w:cs="Times New Roman"/>
          <w:sz w:val="24"/>
          <w:szCs w:val="24"/>
        </w:rPr>
        <w:t>The y-</w:t>
      </w:r>
      <w:r w:rsidRPr="00F30CEB">
        <w:rPr>
          <w:rFonts w:ascii="Times New Roman" w:hAnsi="Times New Roman" w:cs="Times New Roman"/>
          <w:sz w:val="24"/>
          <w:szCs w:val="24"/>
        </w:rPr>
        <w:t xml:space="preserve">axis illustrates </w:t>
      </w:r>
      <w:r>
        <w:rPr>
          <w:rFonts w:ascii="Times New Roman" w:hAnsi="Times New Roman" w:cs="Times New Roman"/>
          <w:sz w:val="24"/>
          <w:szCs w:val="24"/>
        </w:rPr>
        <w:t xml:space="preserve">the </w:t>
      </w:r>
      <w:r w:rsidRPr="00F30CEB">
        <w:rPr>
          <w:rFonts w:ascii="Times New Roman" w:hAnsi="Times New Roman" w:cs="Times New Roman"/>
          <w:sz w:val="24"/>
          <w:szCs w:val="24"/>
        </w:rPr>
        <w:t>normalized, log transformed</w:t>
      </w:r>
      <w:r>
        <w:rPr>
          <w:rFonts w:ascii="Times New Roman" w:hAnsi="Times New Roman" w:cs="Times New Roman"/>
          <w:sz w:val="24"/>
          <w:szCs w:val="24"/>
        </w:rPr>
        <w:t>,</w:t>
      </w:r>
      <w:r w:rsidRPr="00F30CEB">
        <w:rPr>
          <w:rFonts w:ascii="Times New Roman" w:hAnsi="Times New Roman" w:cs="Times New Roman"/>
          <w:sz w:val="24"/>
          <w:szCs w:val="24"/>
        </w:rPr>
        <w:t xml:space="preserve"> and scaled peak area.</w:t>
      </w:r>
      <w:r>
        <w:rPr>
          <w:rFonts w:ascii="Times New Roman" w:hAnsi="Times New Roman" w:cs="Times New Roman"/>
          <w:sz w:val="24"/>
          <w:szCs w:val="24"/>
        </w:rPr>
        <w:t xml:space="preserve"> Dots represent samples. Group mean is shown as a horizontal line within the box.</w:t>
      </w:r>
    </w:p>
    <w:p w:rsidR="003A6200" w:rsidRDefault="003A6200" w:rsidP="003A6200">
      <w:pPr>
        <w:autoSpaceDE w:val="0"/>
        <w:autoSpaceDN w:val="0"/>
        <w:adjustRightInd w:val="0"/>
        <w:spacing w:after="0" w:line="480" w:lineRule="auto"/>
        <w:rPr>
          <w:rFonts w:ascii="Times New Roman" w:hAnsi="Times New Roman" w:cs="Times New Roman"/>
          <w:i/>
          <w:sz w:val="24"/>
          <w:szCs w:val="24"/>
        </w:rPr>
      </w:pPr>
    </w:p>
    <w:p w:rsidR="003A6200" w:rsidRDefault="003A6200" w:rsidP="003A6200">
      <w:pPr>
        <w:autoSpaceDE w:val="0"/>
        <w:autoSpaceDN w:val="0"/>
        <w:adjustRightInd w:val="0"/>
        <w:spacing w:after="0" w:line="240" w:lineRule="auto"/>
        <w:rPr>
          <w:rFonts w:ascii="Times New Roman" w:hAnsi="Times New Roman" w:cs="Times New Roman"/>
          <w:i/>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sidRPr="001A6DB4">
        <w:rPr>
          <w:rFonts w:ascii="Times New Roman" w:hAnsi="Times New Roman" w:cs="Times New Roman"/>
          <w:i/>
          <w:sz w:val="24"/>
          <w:szCs w:val="24"/>
        </w:rPr>
        <w:t>Glycolysis</w:t>
      </w:r>
      <w:r>
        <w:rPr>
          <w:rFonts w:ascii="Times New Roman" w:hAnsi="Times New Roman" w:cs="Times New Roman"/>
          <w:sz w:val="24"/>
          <w:szCs w:val="24"/>
        </w:rPr>
        <w:t xml:space="preserve"> </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It was recently </w:t>
      </w:r>
      <w:r w:rsidRPr="005425C3">
        <w:rPr>
          <w:rFonts w:ascii="Times New Roman" w:hAnsi="Times New Roman" w:cs="Times New Roman"/>
          <w:sz w:val="24"/>
          <w:szCs w:val="24"/>
        </w:rPr>
        <w:t>demonstrate</w:t>
      </w:r>
      <w:r>
        <w:rPr>
          <w:rFonts w:ascii="Times New Roman" w:hAnsi="Times New Roman" w:cs="Times New Roman"/>
          <w:sz w:val="24"/>
          <w:szCs w:val="24"/>
        </w:rPr>
        <w:t>d</w:t>
      </w:r>
      <w:r w:rsidRPr="005425C3">
        <w:rPr>
          <w:rFonts w:ascii="Times New Roman" w:hAnsi="Times New Roman" w:cs="Times New Roman"/>
          <w:sz w:val="24"/>
          <w:szCs w:val="24"/>
        </w:rPr>
        <w:t xml:space="preserve"> that NAMPT inhibition</w:t>
      </w:r>
      <w:r>
        <w:rPr>
          <w:rFonts w:ascii="Times New Roman" w:hAnsi="Times New Roman" w:cs="Times New Roman"/>
          <w:sz w:val="24"/>
          <w:szCs w:val="24"/>
        </w:rPr>
        <w:t xml:space="preserve"> </w:t>
      </w:r>
      <w:r w:rsidRPr="005425C3">
        <w:rPr>
          <w:rFonts w:ascii="Times New Roman" w:hAnsi="Times New Roman" w:cs="Times New Roman"/>
          <w:sz w:val="24"/>
          <w:szCs w:val="24"/>
        </w:rPr>
        <w:t xml:space="preserve">attenuates </w:t>
      </w:r>
      <w:r>
        <w:rPr>
          <w:rFonts w:ascii="Times New Roman" w:hAnsi="Times New Roman" w:cs="Times New Roman"/>
          <w:sz w:val="24"/>
          <w:szCs w:val="24"/>
        </w:rPr>
        <w:t>glyceraldehydes-</w:t>
      </w:r>
      <w:r w:rsidRPr="005425C3">
        <w:rPr>
          <w:rFonts w:ascii="Times New Roman" w:hAnsi="Times New Roman" w:cs="Times New Roman"/>
          <w:sz w:val="24"/>
          <w:szCs w:val="24"/>
        </w:rPr>
        <w:t>3-phosphate dehydrogenase activity,</w:t>
      </w:r>
      <w:r>
        <w:rPr>
          <w:rFonts w:ascii="Times New Roman" w:hAnsi="Times New Roman" w:cs="Times New Roman"/>
          <w:sz w:val="24"/>
          <w:szCs w:val="24"/>
        </w:rPr>
        <w:t xml:space="preserve"> which in turn</w:t>
      </w:r>
      <w:r w:rsidRPr="005425C3">
        <w:rPr>
          <w:rFonts w:ascii="Times New Roman" w:hAnsi="Times New Roman" w:cs="Times New Roman"/>
          <w:sz w:val="24"/>
          <w:szCs w:val="24"/>
        </w:rPr>
        <w:t xml:space="preserve"> affect</w:t>
      </w:r>
      <w:r>
        <w:rPr>
          <w:rFonts w:ascii="Times New Roman" w:hAnsi="Times New Roman" w:cs="Times New Roman"/>
          <w:sz w:val="24"/>
          <w:szCs w:val="24"/>
        </w:rPr>
        <w:t>s</w:t>
      </w:r>
      <w:r w:rsidRPr="005425C3">
        <w:rPr>
          <w:rFonts w:ascii="Times New Roman" w:hAnsi="Times New Roman" w:cs="Times New Roman"/>
          <w:sz w:val="24"/>
          <w:szCs w:val="24"/>
        </w:rPr>
        <w:t xml:space="preserve"> glycolysis and its downstream pathway</w:t>
      </w:r>
      <w:r>
        <w:rPr>
          <w:rFonts w:ascii="Times New Roman" w:hAnsi="Times New Roman" w:cs="Times New Roman"/>
          <w:sz w:val="24"/>
          <w:szCs w:val="24"/>
        </w:rPr>
        <w:t xml:space="preserve">s </w:t>
      </w:r>
      <w:r w:rsidRPr="005425C3">
        <w:rPr>
          <w:rFonts w:ascii="Times New Roman" w:hAnsi="Times New Roman" w:cs="Times New Roman"/>
          <w:sz w:val="24"/>
          <w:szCs w:val="24"/>
        </w:rPr>
        <w:t>in cancer cells</w:t>
      </w:r>
      <w:r>
        <w:rPr>
          <w:rFonts w:ascii="Times New Roman" w:hAnsi="Times New Roman" w:cs="Times New Roman"/>
          <w:sz w:val="24"/>
          <w:szCs w:val="24"/>
        </w:rPr>
        <w:t xml:space="preserve"> [1]</w:t>
      </w:r>
      <w:r w:rsidRPr="005425C3">
        <w:rPr>
          <w:rFonts w:ascii="Times New Roman" w:hAnsi="Times New Roman" w:cs="Times New Roman"/>
          <w:sz w:val="24"/>
          <w:szCs w:val="24"/>
        </w:rPr>
        <w:t xml:space="preserve">. </w:t>
      </w:r>
      <w:r w:rsidRPr="000672BA">
        <w:rPr>
          <w:rFonts w:ascii="Times New Roman" w:hAnsi="Times New Roman" w:cs="Times New Roman"/>
          <w:sz w:val="24"/>
          <w:szCs w:val="24"/>
        </w:rPr>
        <w:t>We observed a significant increase in</w:t>
      </w:r>
      <w:r>
        <w:rPr>
          <w:rFonts w:ascii="Times New Roman" w:hAnsi="Times New Roman" w:cs="Times New Roman"/>
          <w:sz w:val="24"/>
          <w:szCs w:val="24"/>
        </w:rPr>
        <w:t xml:space="preserve"> fructose monophosphate</w:t>
      </w:r>
      <w:r w:rsidRPr="000672BA">
        <w:rPr>
          <w:rFonts w:ascii="Times New Roman" w:hAnsi="Times New Roman" w:cs="Times New Roman"/>
          <w:sz w:val="24"/>
          <w:szCs w:val="24"/>
        </w:rPr>
        <w:t xml:space="preserve">, fructose 1,6-bisphosphate, and </w:t>
      </w:r>
      <w:r>
        <w:rPr>
          <w:rFonts w:ascii="Times New Roman" w:hAnsi="Times New Roman" w:cs="Times New Roman"/>
          <w:sz w:val="24"/>
          <w:szCs w:val="24"/>
        </w:rPr>
        <w:t>glyceraldehydes-</w:t>
      </w:r>
      <w:r w:rsidRPr="000672BA">
        <w:rPr>
          <w:rFonts w:ascii="Times New Roman" w:hAnsi="Times New Roman" w:cs="Times New Roman"/>
          <w:sz w:val="24"/>
          <w:szCs w:val="24"/>
        </w:rPr>
        <w:t>3-phosphate levels</w:t>
      </w:r>
      <w:r>
        <w:rPr>
          <w:rFonts w:ascii="Times New Roman" w:hAnsi="Times New Roman" w:cs="Times New Roman"/>
          <w:sz w:val="24"/>
          <w:szCs w:val="24"/>
        </w:rPr>
        <w:t xml:space="preserve"> </w:t>
      </w:r>
      <w:r w:rsidRPr="000672BA">
        <w:rPr>
          <w:rFonts w:ascii="Times New Roman" w:hAnsi="Times New Roman" w:cs="Times New Roman"/>
          <w:sz w:val="24"/>
          <w:szCs w:val="24"/>
        </w:rPr>
        <w:t xml:space="preserve">and a decrease in </w:t>
      </w:r>
      <w:r>
        <w:rPr>
          <w:rFonts w:ascii="Times New Roman" w:hAnsi="Times New Roman" w:cs="Times New Roman"/>
          <w:sz w:val="24"/>
          <w:szCs w:val="24"/>
        </w:rPr>
        <w:t xml:space="preserve">1,3-bisphosphoglycerate. The latter was dose dependent in A2780 cells and showed no significant changes in HCT116 cells. The levels of glucose-6-phosphate and </w:t>
      </w:r>
      <w:r w:rsidRPr="000672BA">
        <w:rPr>
          <w:rFonts w:ascii="Times New Roman" w:hAnsi="Times New Roman" w:cs="Times New Roman"/>
          <w:sz w:val="24"/>
          <w:szCs w:val="24"/>
        </w:rPr>
        <w:t>3-phosphoglycerate</w:t>
      </w:r>
      <w:r>
        <w:rPr>
          <w:rFonts w:ascii="Times New Roman" w:hAnsi="Times New Roman" w:cs="Times New Roman"/>
          <w:sz w:val="24"/>
          <w:szCs w:val="24"/>
        </w:rPr>
        <w:t xml:space="preserve"> were not significantly changed, and no marked changes were observed </w:t>
      </w:r>
      <w:r w:rsidRPr="00D02C67">
        <w:rPr>
          <w:rFonts w:ascii="Times New Roman" w:hAnsi="Times New Roman" w:cs="Times New Roman"/>
          <w:sz w:val="24"/>
          <w:szCs w:val="24"/>
        </w:rPr>
        <w:t>in phosphoenolpyruvate</w:t>
      </w:r>
      <w:r>
        <w:rPr>
          <w:rFonts w:ascii="Times New Roman" w:hAnsi="Times New Roman" w:cs="Times New Roman"/>
          <w:sz w:val="24"/>
          <w:szCs w:val="24"/>
        </w:rPr>
        <w:t xml:space="preserve"> levels (Supplemental Material S4 and S5).</w:t>
      </w:r>
      <w:r w:rsidRPr="00421B7E">
        <w:rPr>
          <w:rFonts w:ascii="Times New Roman" w:hAnsi="Times New Roman" w:cs="Times New Roman"/>
          <w:color w:val="0070C0"/>
          <w:sz w:val="24"/>
          <w:szCs w:val="24"/>
        </w:rPr>
        <w:t xml:space="preserve"> </w:t>
      </w:r>
      <w:r w:rsidRPr="00421B7E">
        <w:rPr>
          <w:rFonts w:ascii="Times New Roman" w:hAnsi="Times New Roman" w:cs="Times New Roman"/>
          <w:sz w:val="24"/>
          <w:szCs w:val="24"/>
        </w:rPr>
        <w:t>The addition of nicotinic acid completely abolished</w:t>
      </w:r>
      <w:r>
        <w:rPr>
          <w:rFonts w:ascii="Times New Roman" w:hAnsi="Times New Roman" w:cs="Times New Roman"/>
          <w:sz w:val="24"/>
          <w:szCs w:val="24"/>
        </w:rPr>
        <w:t xml:space="preserve"> the observed</w:t>
      </w:r>
      <w:r w:rsidRPr="00421B7E">
        <w:rPr>
          <w:rFonts w:ascii="Times New Roman" w:hAnsi="Times New Roman" w:cs="Times New Roman"/>
          <w:sz w:val="24"/>
          <w:szCs w:val="24"/>
        </w:rPr>
        <w:t xml:space="preserve"> effects in HCT116 </w:t>
      </w:r>
      <w:r>
        <w:rPr>
          <w:rFonts w:ascii="Times New Roman" w:hAnsi="Times New Roman" w:cs="Times New Roman"/>
          <w:sz w:val="24"/>
          <w:szCs w:val="24"/>
        </w:rPr>
        <w:t xml:space="preserve">cells </w:t>
      </w:r>
      <w:r w:rsidRPr="00421B7E">
        <w:rPr>
          <w:rFonts w:ascii="Times New Roman" w:hAnsi="Times New Roman" w:cs="Times New Roman"/>
          <w:sz w:val="24"/>
          <w:szCs w:val="24"/>
        </w:rPr>
        <w:t xml:space="preserve">but not in A2780 </w:t>
      </w:r>
      <w:r>
        <w:rPr>
          <w:rFonts w:ascii="Times New Roman" w:hAnsi="Times New Roman" w:cs="Times New Roman"/>
          <w:sz w:val="24"/>
          <w:szCs w:val="24"/>
        </w:rPr>
        <w:t xml:space="preserve">cells </w:t>
      </w:r>
      <w:r w:rsidRPr="00421B7E">
        <w:rPr>
          <w:rFonts w:ascii="Times New Roman" w:hAnsi="Times New Roman" w:cs="Times New Roman"/>
          <w:sz w:val="24"/>
          <w:szCs w:val="24"/>
        </w:rPr>
        <w:t>(</w:t>
      </w:r>
      <w:r>
        <w:rPr>
          <w:rFonts w:ascii="Times New Roman" w:hAnsi="Times New Roman" w:cs="Times New Roman"/>
          <w:sz w:val="24"/>
          <w:szCs w:val="24"/>
        </w:rPr>
        <w:t xml:space="preserve">Supplementary </w:t>
      </w:r>
      <w:r w:rsidRPr="00421B7E">
        <w:rPr>
          <w:rFonts w:ascii="Times New Roman" w:hAnsi="Times New Roman" w:cs="Times New Roman"/>
          <w:sz w:val="24"/>
          <w:szCs w:val="24"/>
        </w:rPr>
        <w:t>Fig</w:t>
      </w:r>
      <w:r>
        <w:rPr>
          <w:rFonts w:ascii="Times New Roman" w:hAnsi="Times New Roman" w:cs="Times New Roman"/>
          <w:sz w:val="24"/>
          <w:szCs w:val="24"/>
        </w:rPr>
        <w:t>ure</w:t>
      </w:r>
      <w:r w:rsidRPr="00421B7E">
        <w:rPr>
          <w:rFonts w:ascii="Times New Roman" w:hAnsi="Times New Roman" w:cs="Times New Roman"/>
          <w:sz w:val="24"/>
          <w:szCs w:val="24"/>
        </w:rPr>
        <w:t xml:space="preserve"> </w:t>
      </w:r>
      <w:r>
        <w:rPr>
          <w:rFonts w:ascii="Times New Roman" w:hAnsi="Times New Roman" w:cs="Times New Roman"/>
          <w:sz w:val="24"/>
          <w:szCs w:val="24"/>
        </w:rPr>
        <w:t>3</w:t>
      </w:r>
      <w:r w:rsidRPr="00421B7E">
        <w:rPr>
          <w:rFonts w:ascii="Times New Roman" w:hAnsi="Times New Roman" w:cs="Times New Roman"/>
          <w:sz w:val="24"/>
          <w:szCs w:val="24"/>
        </w:rPr>
        <w:t>)</w:t>
      </w:r>
      <w:r>
        <w:rPr>
          <w:rFonts w:ascii="Times New Roman" w:hAnsi="Times New Roman" w:cs="Times New Roman"/>
          <w:sz w:val="24"/>
          <w:szCs w:val="24"/>
        </w:rPr>
        <w:t>.</w:t>
      </w:r>
    </w:p>
    <w:p w:rsidR="003A6200" w:rsidRDefault="003A6200" w:rsidP="003A6200">
      <w:pPr>
        <w:autoSpaceDE w:val="0"/>
        <w:autoSpaceDN w:val="0"/>
        <w:adjustRightInd w:val="0"/>
        <w:spacing w:after="0" w:line="240" w:lineRule="auto"/>
        <w:rPr>
          <w:rFonts w:ascii="Times New Roman" w:hAnsi="Times New Roman" w:cs="Times New Roman"/>
          <w:sz w:val="24"/>
          <w:szCs w:val="24"/>
        </w:rPr>
      </w:pPr>
    </w:p>
    <w:p w:rsidR="003A6200" w:rsidRPr="00421B7E" w:rsidRDefault="003A6200" w:rsidP="003A6200">
      <w:pPr>
        <w:autoSpaceDE w:val="0"/>
        <w:autoSpaceDN w:val="0"/>
        <w:adjustRightInd w:val="0"/>
        <w:spacing w:after="0" w:line="240" w:lineRule="auto"/>
        <w:rPr>
          <w:rFonts w:ascii="Times New Roman" w:hAnsi="Times New Roman" w:cs="Times New Roman"/>
          <w:color w:val="0070C0"/>
          <w:sz w:val="24"/>
          <w:szCs w:val="24"/>
        </w:rPr>
      </w:pPr>
    </w:p>
    <w:p w:rsidR="003A6200" w:rsidRPr="00421B7E" w:rsidRDefault="003A6200" w:rsidP="003A6200">
      <w:pPr>
        <w:autoSpaceDE w:val="0"/>
        <w:autoSpaceDN w:val="0"/>
        <w:adjustRightInd w:val="0"/>
        <w:spacing w:after="0" w:line="240" w:lineRule="auto"/>
        <w:jc w:val="center"/>
        <w:rPr>
          <w:rFonts w:ascii="Times New Roman" w:hAnsi="Times New Roman" w:cs="Times New Roman"/>
          <w:color w:val="0070C0"/>
          <w:sz w:val="24"/>
          <w:szCs w:val="24"/>
        </w:rPr>
      </w:pPr>
      <w:r>
        <w:rPr>
          <w:noProof/>
        </w:rPr>
        <w:drawing>
          <wp:inline distT="0" distB="0" distL="0" distR="0" wp14:anchorId="3604C748" wp14:editId="705DE75A">
            <wp:extent cx="5943600" cy="3342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3342005"/>
                    </a:xfrm>
                    <a:prstGeom prst="rect">
                      <a:avLst/>
                    </a:prstGeom>
                  </pic:spPr>
                </pic:pic>
              </a:graphicData>
            </a:graphic>
          </wp:inline>
        </w:drawing>
      </w:r>
    </w:p>
    <w:p w:rsidR="003A6200" w:rsidRDefault="003A6200" w:rsidP="003A6200">
      <w:pPr>
        <w:autoSpaceDE w:val="0"/>
        <w:autoSpaceDN w:val="0"/>
        <w:adjustRightInd w:val="0"/>
        <w:spacing w:after="0" w:line="240" w:lineRule="auto"/>
        <w:rPr>
          <w:rFonts w:ascii="Times New Roman" w:hAnsi="Times New Roman" w:cs="Times New Roman"/>
          <w:color w:val="0070C0"/>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Supplementary Figure 3. One-way analysis of variance</w:t>
      </w:r>
      <w:r w:rsidDel="00656947">
        <w:rPr>
          <w:rFonts w:ascii="Times New Roman" w:hAnsi="Times New Roman" w:cs="Times New Roman"/>
          <w:sz w:val="24"/>
          <w:szCs w:val="24"/>
        </w:rPr>
        <w:t xml:space="preserve"> </w:t>
      </w:r>
      <w:r>
        <w:rPr>
          <w:rFonts w:ascii="Times New Roman" w:hAnsi="Times New Roman" w:cs="Times New Roman"/>
          <w:sz w:val="24"/>
          <w:szCs w:val="24"/>
        </w:rPr>
        <w:t xml:space="preserve">box plots illustrating the observed level changes of fructose monophosphate and fructose 1,6-bisphosphate levels after FK866 treatment at 50 and 5 nM concentrations in A2780 (left panel) and HCT116 (right panel) cells, respectively, with (+NA) and without (–NA) nicotinic acid addition. </w:t>
      </w:r>
      <w:r w:rsidRPr="00F30CEB">
        <w:rPr>
          <w:rFonts w:ascii="Times New Roman" w:hAnsi="Times New Roman" w:cs="Times New Roman"/>
          <w:sz w:val="24"/>
          <w:szCs w:val="24"/>
        </w:rPr>
        <w:t>Gr</w:t>
      </w:r>
      <w:r>
        <w:rPr>
          <w:rFonts w:ascii="Times New Roman" w:hAnsi="Times New Roman" w:cs="Times New Roman"/>
          <w:sz w:val="24"/>
          <w:szCs w:val="24"/>
        </w:rPr>
        <w:t xml:space="preserve">and mean is shown </w:t>
      </w:r>
      <w:r w:rsidRPr="00F30CEB">
        <w:rPr>
          <w:rFonts w:ascii="Times New Roman" w:hAnsi="Times New Roman" w:cs="Times New Roman"/>
          <w:sz w:val="24"/>
          <w:szCs w:val="24"/>
        </w:rPr>
        <w:t>as a horizo</w:t>
      </w:r>
      <w:r>
        <w:rPr>
          <w:rFonts w:ascii="Times New Roman" w:hAnsi="Times New Roman" w:cs="Times New Roman"/>
          <w:sz w:val="24"/>
          <w:szCs w:val="24"/>
        </w:rPr>
        <w:t>ntal line located within panel</w:t>
      </w:r>
      <w:r w:rsidRPr="00F30CEB">
        <w:rPr>
          <w:rFonts w:ascii="Times New Roman" w:hAnsi="Times New Roman" w:cs="Times New Roman"/>
          <w:sz w:val="24"/>
          <w:szCs w:val="24"/>
        </w:rPr>
        <w:t xml:space="preserve">. </w:t>
      </w:r>
      <w:r>
        <w:rPr>
          <w:rFonts w:ascii="Times New Roman" w:hAnsi="Times New Roman" w:cs="Times New Roman"/>
          <w:sz w:val="24"/>
          <w:szCs w:val="24"/>
        </w:rPr>
        <w:t>The y-</w:t>
      </w:r>
      <w:r w:rsidRPr="00F30CEB">
        <w:rPr>
          <w:rFonts w:ascii="Times New Roman" w:hAnsi="Times New Roman" w:cs="Times New Roman"/>
          <w:sz w:val="24"/>
          <w:szCs w:val="24"/>
        </w:rPr>
        <w:t xml:space="preserve">axis illustrates </w:t>
      </w:r>
      <w:r>
        <w:rPr>
          <w:rFonts w:ascii="Times New Roman" w:hAnsi="Times New Roman" w:cs="Times New Roman"/>
          <w:sz w:val="24"/>
          <w:szCs w:val="24"/>
        </w:rPr>
        <w:t xml:space="preserve">the </w:t>
      </w:r>
      <w:r w:rsidRPr="00F30CEB">
        <w:rPr>
          <w:rFonts w:ascii="Times New Roman" w:hAnsi="Times New Roman" w:cs="Times New Roman"/>
          <w:sz w:val="24"/>
          <w:szCs w:val="24"/>
        </w:rPr>
        <w:t>normalized, log transformed</w:t>
      </w:r>
      <w:r>
        <w:rPr>
          <w:rFonts w:ascii="Times New Roman" w:hAnsi="Times New Roman" w:cs="Times New Roman"/>
          <w:sz w:val="24"/>
          <w:szCs w:val="24"/>
        </w:rPr>
        <w:t>,</w:t>
      </w:r>
      <w:r w:rsidRPr="00F30CEB">
        <w:rPr>
          <w:rFonts w:ascii="Times New Roman" w:hAnsi="Times New Roman" w:cs="Times New Roman"/>
          <w:sz w:val="24"/>
          <w:szCs w:val="24"/>
        </w:rPr>
        <w:t xml:space="preserve"> and scaled peak area.</w:t>
      </w:r>
      <w:r>
        <w:rPr>
          <w:rFonts w:ascii="Times New Roman" w:hAnsi="Times New Roman" w:cs="Times New Roman"/>
          <w:sz w:val="24"/>
          <w:szCs w:val="24"/>
        </w:rPr>
        <w:t xml:space="preserve"> Dots represent samples. Group mean is shown as a horizontal line within the box.</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rPr>
          <w:rFonts w:ascii="Times New Roman" w:hAnsi="Times New Roman" w:cs="Times New Roman"/>
          <w:color w:val="0070C0"/>
          <w:sz w:val="24"/>
          <w:szCs w:val="24"/>
        </w:rPr>
      </w:pPr>
    </w:p>
    <w:p w:rsidR="003A6200" w:rsidRDefault="003A6200" w:rsidP="003A6200">
      <w:pPr>
        <w:autoSpaceDE w:val="0"/>
        <w:autoSpaceDN w:val="0"/>
        <w:adjustRightInd w:val="0"/>
        <w:spacing w:after="0" w:line="240" w:lineRule="auto"/>
        <w:rPr>
          <w:rFonts w:ascii="Times New Roman" w:hAnsi="Times New Roman" w:cs="Times New Roman"/>
          <w:color w:val="0070C0"/>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sidRPr="000808C5">
        <w:rPr>
          <w:rFonts w:ascii="Times New Roman" w:hAnsi="Times New Roman" w:cs="Times New Roman"/>
          <w:i/>
          <w:sz w:val="24"/>
          <w:szCs w:val="24"/>
        </w:rPr>
        <w:t xml:space="preserve">Pentose Phosphate Pathway </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sidRPr="000808C5">
        <w:rPr>
          <w:rFonts w:ascii="Times New Roman" w:hAnsi="Times New Roman" w:cs="Times New Roman"/>
          <w:sz w:val="24"/>
          <w:szCs w:val="24"/>
        </w:rPr>
        <w:t xml:space="preserve">It is known that many cancer cells rely on glycolysis for ATP production to fuel their rapid growth and proliferation </w:t>
      </w:r>
      <w:r>
        <w:rPr>
          <w:rFonts w:ascii="Times New Roman" w:hAnsi="Times New Roman" w:cs="Times New Roman"/>
          <w:sz w:val="24"/>
          <w:szCs w:val="24"/>
        </w:rPr>
        <w:t>[4,5]</w:t>
      </w:r>
      <w:r w:rsidRPr="000808C5">
        <w:rPr>
          <w:rFonts w:ascii="Times New Roman" w:hAnsi="Times New Roman" w:cs="Times New Roman"/>
          <w:sz w:val="24"/>
          <w:szCs w:val="24"/>
        </w:rPr>
        <w:t xml:space="preserve">. We observed </w:t>
      </w:r>
      <w:r>
        <w:rPr>
          <w:rFonts w:ascii="Times New Roman" w:hAnsi="Times New Roman" w:cs="Times New Roman"/>
          <w:sz w:val="24"/>
          <w:szCs w:val="24"/>
        </w:rPr>
        <w:t xml:space="preserve">an </w:t>
      </w:r>
      <w:r w:rsidRPr="000808C5">
        <w:rPr>
          <w:rFonts w:ascii="Times New Roman" w:hAnsi="Times New Roman" w:cs="Times New Roman"/>
          <w:sz w:val="24"/>
          <w:szCs w:val="24"/>
        </w:rPr>
        <w:t xml:space="preserve">alteration in </w:t>
      </w:r>
      <w:r>
        <w:rPr>
          <w:rFonts w:ascii="Times New Roman" w:hAnsi="Times New Roman" w:cs="Times New Roman"/>
          <w:sz w:val="24"/>
          <w:szCs w:val="24"/>
        </w:rPr>
        <w:t xml:space="preserve">the </w:t>
      </w:r>
      <w:r w:rsidRPr="000808C5">
        <w:rPr>
          <w:rFonts w:ascii="Times New Roman" w:hAnsi="Times New Roman" w:cs="Times New Roman"/>
          <w:sz w:val="24"/>
          <w:szCs w:val="24"/>
        </w:rPr>
        <w:t xml:space="preserve">levels of metabolites involved in </w:t>
      </w:r>
      <w:r w:rsidRPr="000808C5">
        <w:rPr>
          <w:rFonts w:ascii="Times New Roman" w:hAnsi="Times New Roman" w:cs="Times New Roman"/>
          <w:sz w:val="24"/>
          <w:szCs w:val="24"/>
        </w:rPr>
        <w:lastRenderedPageBreak/>
        <w:t xml:space="preserve">the pentose phosphate pathway </w:t>
      </w:r>
      <w:r>
        <w:rPr>
          <w:rFonts w:ascii="Times New Roman" w:hAnsi="Times New Roman" w:cs="Times New Roman"/>
          <w:sz w:val="24"/>
          <w:szCs w:val="24"/>
        </w:rPr>
        <w:t xml:space="preserve">(PPP) with </w:t>
      </w:r>
      <w:r w:rsidRPr="000808C5">
        <w:rPr>
          <w:rFonts w:ascii="Times New Roman" w:hAnsi="Times New Roman" w:cs="Times New Roman"/>
          <w:sz w:val="24"/>
          <w:szCs w:val="24"/>
        </w:rPr>
        <w:t xml:space="preserve">treatment cells with FK866. Levels of deoxysedoheptulose 7-phosphate were decreased in </w:t>
      </w:r>
      <w:r>
        <w:rPr>
          <w:rFonts w:ascii="Times New Roman" w:hAnsi="Times New Roman" w:cs="Times New Roman"/>
          <w:sz w:val="24"/>
          <w:szCs w:val="24"/>
        </w:rPr>
        <w:t xml:space="preserve">a </w:t>
      </w:r>
      <w:r w:rsidRPr="000808C5">
        <w:rPr>
          <w:rFonts w:ascii="Times New Roman" w:hAnsi="Times New Roman" w:cs="Times New Roman"/>
          <w:sz w:val="24"/>
          <w:szCs w:val="24"/>
        </w:rPr>
        <w:t>dose</w:t>
      </w:r>
      <w:r>
        <w:rPr>
          <w:rFonts w:ascii="Times New Roman" w:hAnsi="Times New Roman" w:cs="Times New Roman"/>
          <w:sz w:val="24"/>
          <w:szCs w:val="24"/>
        </w:rPr>
        <w:t>-</w:t>
      </w:r>
      <w:r w:rsidRPr="000808C5">
        <w:rPr>
          <w:rFonts w:ascii="Times New Roman" w:hAnsi="Times New Roman" w:cs="Times New Roman"/>
          <w:sz w:val="24"/>
          <w:szCs w:val="24"/>
        </w:rPr>
        <w:t xml:space="preserve">dependent manner in both cell lines. </w:t>
      </w:r>
      <w:r>
        <w:rPr>
          <w:rFonts w:ascii="Times New Roman" w:hAnsi="Times New Roman" w:cs="Times New Roman"/>
          <w:sz w:val="24"/>
          <w:szCs w:val="24"/>
        </w:rPr>
        <w:t>The l</w:t>
      </w:r>
      <w:r w:rsidRPr="000808C5">
        <w:rPr>
          <w:rFonts w:ascii="Times New Roman" w:hAnsi="Times New Roman" w:cs="Times New Roman"/>
          <w:sz w:val="24"/>
          <w:szCs w:val="24"/>
        </w:rPr>
        <w:t>evels</w:t>
      </w:r>
      <w:r>
        <w:rPr>
          <w:rFonts w:ascii="Times New Roman" w:hAnsi="Times New Roman" w:cs="Times New Roman"/>
          <w:sz w:val="24"/>
          <w:szCs w:val="24"/>
        </w:rPr>
        <w:t xml:space="preserve"> of</w:t>
      </w:r>
      <w:r w:rsidRPr="000808C5">
        <w:rPr>
          <w:rFonts w:ascii="Times New Roman" w:hAnsi="Times New Roman" w:cs="Times New Roman"/>
          <w:sz w:val="24"/>
          <w:szCs w:val="24"/>
        </w:rPr>
        <w:t xml:space="preserve"> deoxyribose</w:t>
      </w:r>
      <w:r>
        <w:rPr>
          <w:rFonts w:ascii="Times New Roman" w:hAnsi="Times New Roman" w:cs="Times New Roman"/>
          <w:sz w:val="24"/>
          <w:szCs w:val="24"/>
        </w:rPr>
        <w:t xml:space="preserve"> 5-</w:t>
      </w:r>
      <w:r w:rsidRPr="000808C5">
        <w:rPr>
          <w:rFonts w:ascii="Times New Roman" w:hAnsi="Times New Roman" w:cs="Times New Roman"/>
          <w:sz w:val="24"/>
          <w:szCs w:val="24"/>
        </w:rPr>
        <w:t>phosphate were not significantly changed</w:t>
      </w:r>
      <w:r>
        <w:rPr>
          <w:rFonts w:ascii="Times New Roman" w:hAnsi="Times New Roman" w:cs="Times New Roman"/>
          <w:sz w:val="24"/>
          <w:szCs w:val="24"/>
        </w:rPr>
        <w:t xml:space="preserve"> in either cell line</w:t>
      </w:r>
      <w:r w:rsidRPr="000808C5">
        <w:rPr>
          <w:rFonts w:ascii="Times New Roman" w:hAnsi="Times New Roman" w:cs="Times New Roman"/>
          <w:sz w:val="24"/>
          <w:szCs w:val="24"/>
        </w:rPr>
        <w:t>.</w:t>
      </w:r>
      <w:r>
        <w:rPr>
          <w:rFonts w:ascii="Times New Roman" w:hAnsi="Times New Roman" w:cs="Times New Roman"/>
          <w:sz w:val="24"/>
          <w:szCs w:val="24"/>
        </w:rPr>
        <w:t xml:space="preserve"> PPP upregulation due to NAMPT inhibition is consistent with the build-up of glycolytic metabolites, which serve as substrates for the PPP shunt.</w:t>
      </w:r>
      <w:r w:rsidRPr="000808C5">
        <w:rPr>
          <w:rFonts w:ascii="Times New Roman" w:hAnsi="Times New Roman" w:cs="Times New Roman"/>
          <w:sz w:val="24"/>
          <w:szCs w:val="24"/>
        </w:rPr>
        <w:t xml:space="preserve"> Levels of ribose-5-phosphate, sedoheptulose </w:t>
      </w:r>
      <w:r>
        <w:rPr>
          <w:rFonts w:ascii="Times New Roman" w:hAnsi="Times New Roman" w:cs="Times New Roman"/>
          <w:sz w:val="24"/>
          <w:szCs w:val="24"/>
        </w:rPr>
        <w:t>mono</w:t>
      </w:r>
      <w:r w:rsidRPr="000808C5">
        <w:rPr>
          <w:rFonts w:ascii="Times New Roman" w:hAnsi="Times New Roman" w:cs="Times New Roman"/>
          <w:sz w:val="24"/>
          <w:szCs w:val="24"/>
        </w:rPr>
        <w:t>phosphate, sedoheptulose 1, 7-bisphosphate</w:t>
      </w:r>
      <w:r>
        <w:rPr>
          <w:rFonts w:ascii="Times New Roman" w:hAnsi="Times New Roman" w:cs="Times New Roman"/>
          <w:sz w:val="24"/>
          <w:szCs w:val="24"/>
        </w:rPr>
        <w:t>,</w:t>
      </w:r>
      <w:r w:rsidRPr="000808C5">
        <w:rPr>
          <w:rFonts w:ascii="Times New Roman" w:hAnsi="Times New Roman" w:cs="Times New Roman"/>
          <w:sz w:val="24"/>
          <w:szCs w:val="24"/>
        </w:rPr>
        <w:t xml:space="preserve"> and octulose </w:t>
      </w:r>
      <w:r>
        <w:rPr>
          <w:rFonts w:ascii="Times New Roman" w:hAnsi="Times New Roman" w:cs="Times New Roman"/>
          <w:sz w:val="24"/>
          <w:szCs w:val="24"/>
        </w:rPr>
        <w:t>mono</w:t>
      </w:r>
      <w:r w:rsidRPr="000808C5">
        <w:rPr>
          <w:rFonts w:ascii="Times New Roman" w:hAnsi="Times New Roman" w:cs="Times New Roman"/>
          <w:sz w:val="24"/>
          <w:szCs w:val="24"/>
        </w:rPr>
        <w:t xml:space="preserve">phosphate were </w:t>
      </w:r>
      <w:r>
        <w:rPr>
          <w:rFonts w:ascii="Times New Roman" w:hAnsi="Times New Roman" w:cs="Times New Roman"/>
          <w:sz w:val="24"/>
          <w:szCs w:val="24"/>
        </w:rPr>
        <w:t xml:space="preserve">significantly increased in a dose-dependent manner in both cell lines. </w:t>
      </w:r>
      <w:r w:rsidRPr="00421B7E">
        <w:rPr>
          <w:rFonts w:ascii="Times New Roman" w:hAnsi="Times New Roman" w:cs="Times New Roman"/>
          <w:sz w:val="24"/>
          <w:szCs w:val="24"/>
        </w:rPr>
        <w:t xml:space="preserve">The addition of nicotinic acid abolished these effects in HCT116 </w:t>
      </w:r>
      <w:r>
        <w:rPr>
          <w:rFonts w:ascii="Times New Roman" w:hAnsi="Times New Roman" w:cs="Times New Roman"/>
          <w:sz w:val="24"/>
          <w:szCs w:val="24"/>
        </w:rPr>
        <w:t xml:space="preserve">cells </w:t>
      </w:r>
      <w:r w:rsidRPr="00421B7E">
        <w:rPr>
          <w:rFonts w:ascii="Times New Roman" w:hAnsi="Times New Roman" w:cs="Times New Roman"/>
          <w:sz w:val="24"/>
          <w:szCs w:val="24"/>
        </w:rPr>
        <w:t>but not in A2780</w:t>
      </w:r>
      <w:r>
        <w:rPr>
          <w:rFonts w:ascii="Times New Roman" w:hAnsi="Times New Roman" w:cs="Times New Roman"/>
          <w:sz w:val="24"/>
          <w:szCs w:val="24"/>
        </w:rPr>
        <w:t xml:space="preserve"> cells</w:t>
      </w:r>
      <w:r w:rsidRPr="00421B7E">
        <w:rPr>
          <w:rFonts w:ascii="Times New Roman" w:hAnsi="Times New Roman" w:cs="Times New Roman"/>
          <w:sz w:val="24"/>
          <w:szCs w:val="24"/>
        </w:rPr>
        <w:t xml:space="preserve"> (</w:t>
      </w:r>
      <w:r>
        <w:rPr>
          <w:rFonts w:ascii="Times New Roman" w:hAnsi="Times New Roman" w:cs="Times New Roman"/>
          <w:sz w:val="24"/>
          <w:szCs w:val="24"/>
        </w:rPr>
        <w:t xml:space="preserve">Supplementary </w:t>
      </w:r>
      <w:r w:rsidRPr="00421B7E">
        <w:rPr>
          <w:rFonts w:ascii="Times New Roman" w:hAnsi="Times New Roman" w:cs="Times New Roman"/>
          <w:sz w:val="24"/>
          <w:szCs w:val="24"/>
        </w:rPr>
        <w:t>Fig</w:t>
      </w:r>
      <w:r>
        <w:rPr>
          <w:rFonts w:ascii="Times New Roman" w:hAnsi="Times New Roman" w:cs="Times New Roman"/>
          <w:sz w:val="24"/>
          <w:szCs w:val="24"/>
        </w:rPr>
        <w:t>ure</w:t>
      </w:r>
      <w:r w:rsidRPr="00421B7E">
        <w:rPr>
          <w:rFonts w:ascii="Times New Roman" w:hAnsi="Times New Roman" w:cs="Times New Roman"/>
          <w:sz w:val="24"/>
          <w:szCs w:val="24"/>
        </w:rPr>
        <w:t xml:space="preserve"> </w:t>
      </w:r>
      <w:r>
        <w:rPr>
          <w:rFonts w:ascii="Times New Roman" w:hAnsi="Times New Roman" w:cs="Times New Roman"/>
          <w:sz w:val="24"/>
          <w:szCs w:val="24"/>
        </w:rPr>
        <w:t>4</w:t>
      </w:r>
      <w:r w:rsidRPr="00421B7E">
        <w:rPr>
          <w:rFonts w:ascii="Times New Roman" w:hAnsi="Times New Roman" w:cs="Times New Roman"/>
          <w:sz w:val="24"/>
          <w:szCs w:val="24"/>
        </w:rPr>
        <w:t xml:space="preserve">). </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5D814B80" wp14:editId="443A453E">
            <wp:extent cx="5943600" cy="5015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5015230"/>
                    </a:xfrm>
                    <a:prstGeom prst="rect">
                      <a:avLst/>
                    </a:prstGeom>
                  </pic:spPr>
                </pic:pic>
              </a:graphicData>
            </a:graphic>
          </wp:inline>
        </w:drawing>
      </w:r>
    </w:p>
    <w:p w:rsidR="003A6200" w:rsidRDefault="003A6200" w:rsidP="003A6200">
      <w:pPr>
        <w:autoSpaceDE w:val="0"/>
        <w:autoSpaceDN w:val="0"/>
        <w:adjustRightInd w:val="0"/>
        <w:spacing w:after="0" w:line="240" w:lineRule="auto"/>
        <w:jc w:val="center"/>
        <w:rPr>
          <w:rFonts w:ascii="Times New Roman" w:hAnsi="Times New Roman" w:cs="Times New Roman"/>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Supplementary Figure 4. One-way analysis of variance</w:t>
      </w:r>
      <w:r w:rsidDel="00656947">
        <w:rPr>
          <w:rFonts w:ascii="Times New Roman" w:hAnsi="Times New Roman" w:cs="Times New Roman"/>
          <w:sz w:val="24"/>
          <w:szCs w:val="24"/>
        </w:rPr>
        <w:t xml:space="preserve"> </w:t>
      </w:r>
      <w:r>
        <w:rPr>
          <w:rFonts w:ascii="Times New Roman" w:hAnsi="Times New Roman" w:cs="Times New Roman"/>
          <w:sz w:val="24"/>
          <w:szCs w:val="24"/>
        </w:rPr>
        <w:t xml:space="preserve">box plots illustrating the observed level changes of ribose-5-phosphate, </w:t>
      </w:r>
      <w:r w:rsidRPr="000808C5">
        <w:rPr>
          <w:rFonts w:ascii="Times New Roman" w:hAnsi="Times New Roman" w:cs="Times New Roman"/>
          <w:sz w:val="24"/>
          <w:szCs w:val="24"/>
        </w:rPr>
        <w:t xml:space="preserve">sedoheptulose </w:t>
      </w:r>
      <w:r>
        <w:rPr>
          <w:rFonts w:ascii="Times New Roman" w:hAnsi="Times New Roman" w:cs="Times New Roman"/>
          <w:sz w:val="24"/>
          <w:szCs w:val="24"/>
        </w:rPr>
        <w:t>mono</w:t>
      </w:r>
      <w:r w:rsidRPr="000808C5">
        <w:rPr>
          <w:rFonts w:ascii="Times New Roman" w:hAnsi="Times New Roman" w:cs="Times New Roman"/>
          <w:sz w:val="24"/>
          <w:szCs w:val="24"/>
        </w:rPr>
        <w:t>phosphate</w:t>
      </w:r>
      <w:r>
        <w:rPr>
          <w:rFonts w:ascii="Times New Roman" w:hAnsi="Times New Roman" w:cs="Times New Roman"/>
          <w:sz w:val="24"/>
          <w:szCs w:val="24"/>
        </w:rPr>
        <w:t xml:space="preserve">, and </w:t>
      </w:r>
      <w:r w:rsidRPr="000808C5">
        <w:rPr>
          <w:rFonts w:ascii="Times New Roman" w:hAnsi="Times New Roman" w:cs="Times New Roman"/>
          <w:sz w:val="24"/>
          <w:szCs w:val="24"/>
        </w:rPr>
        <w:t xml:space="preserve">sedoheptulose </w:t>
      </w:r>
      <w:r>
        <w:rPr>
          <w:rFonts w:ascii="Times New Roman" w:hAnsi="Times New Roman" w:cs="Times New Roman"/>
          <w:sz w:val="24"/>
          <w:szCs w:val="24"/>
        </w:rPr>
        <w:t>1,</w:t>
      </w:r>
      <w:r w:rsidRPr="000808C5">
        <w:rPr>
          <w:rFonts w:ascii="Times New Roman" w:hAnsi="Times New Roman" w:cs="Times New Roman"/>
          <w:sz w:val="24"/>
          <w:szCs w:val="24"/>
        </w:rPr>
        <w:t>7-</w:t>
      </w:r>
      <w:r>
        <w:rPr>
          <w:rFonts w:ascii="Times New Roman" w:hAnsi="Times New Roman" w:cs="Times New Roman"/>
          <w:sz w:val="24"/>
          <w:szCs w:val="24"/>
        </w:rPr>
        <w:t>bis</w:t>
      </w:r>
      <w:r w:rsidRPr="000808C5">
        <w:rPr>
          <w:rFonts w:ascii="Times New Roman" w:hAnsi="Times New Roman" w:cs="Times New Roman"/>
          <w:sz w:val="24"/>
          <w:szCs w:val="24"/>
        </w:rPr>
        <w:t>phosphate</w:t>
      </w:r>
      <w:r>
        <w:rPr>
          <w:rFonts w:ascii="Times New Roman" w:hAnsi="Times New Roman" w:cs="Times New Roman"/>
          <w:sz w:val="24"/>
          <w:szCs w:val="24"/>
        </w:rPr>
        <w:t xml:space="preserve"> after FK866 treatment at 50 and 5 nM concentrations in A2780 (left panel) and HCT116 (right panel) cells, respectively, with (+NA) and without (–NA) nicotinic acid addition. </w:t>
      </w:r>
      <w:r w:rsidRPr="00F30CEB">
        <w:rPr>
          <w:rFonts w:ascii="Times New Roman" w:hAnsi="Times New Roman" w:cs="Times New Roman"/>
          <w:sz w:val="24"/>
          <w:szCs w:val="24"/>
        </w:rPr>
        <w:t>Gr</w:t>
      </w:r>
      <w:r>
        <w:rPr>
          <w:rFonts w:ascii="Times New Roman" w:hAnsi="Times New Roman" w:cs="Times New Roman"/>
          <w:sz w:val="24"/>
          <w:szCs w:val="24"/>
        </w:rPr>
        <w:t xml:space="preserve">and mean is shown </w:t>
      </w:r>
      <w:r w:rsidRPr="00F30CEB">
        <w:rPr>
          <w:rFonts w:ascii="Times New Roman" w:hAnsi="Times New Roman" w:cs="Times New Roman"/>
          <w:sz w:val="24"/>
          <w:szCs w:val="24"/>
        </w:rPr>
        <w:t>as a horizo</w:t>
      </w:r>
      <w:r>
        <w:rPr>
          <w:rFonts w:ascii="Times New Roman" w:hAnsi="Times New Roman" w:cs="Times New Roman"/>
          <w:sz w:val="24"/>
          <w:szCs w:val="24"/>
        </w:rPr>
        <w:t>ntal line located within panel</w:t>
      </w:r>
      <w:r w:rsidRPr="00F30CEB">
        <w:rPr>
          <w:rFonts w:ascii="Times New Roman" w:hAnsi="Times New Roman" w:cs="Times New Roman"/>
          <w:sz w:val="24"/>
          <w:szCs w:val="24"/>
        </w:rPr>
        <w:t xml:space="preserve">. </w:t>
      </w:r>
      <w:r>
        <w:rPr>
          <w:rFonts w:ascii="Times New Roman" w:hAnsi="Times New Roman" w:cs="Times New Roman"/>
          <w:sz w:val="24"/>
          <w:szCs w:val="24"/>
        </w:rPr>
        <w:t>The y-</w:t>
      </w:r>
      <w:r w:rsidRPr="00F30CEB">
        <w:rPr>
          <w:rFonts w:ascii="Times New Roman" w:hAnsi="Times New Roman" w:cs="Times New Roman"/>
          <w:sz w:val="24"/>
          <w:szCs w:val="24"/>
        </w:rPr>
        <w:t xml:space="preserve">axis illustrates </w:t>
      </w:r>
      <w:r>
        <w:rPr>
          <w:rFonts w:ascii="Times New Roman" w:hAnsi="Times New Roman" w:cs="Times New Roman"/>
          <w:sz w:val="24"/>
          <w:szCs w:val="24"/>
        </w:rPr>
        <w:t xml:space="preserve">the </w:t>
      </w:r>
      <w:r w:rsidRPr="00F30CEB">
        <w:rPr>
          <w:rFonts w:ascii="Times New Roman" w:hAnsi="Times New Roman" w:cs="Times New Roman"/>
          <w:sz w:val="24"/>
          <w:szCs w:val="24"/>
        </w:rPr>
        <w:t>normalized, log transformed</w:t>
      </w:r>
      <w:r>
        <w:rPr>
          <w:rFonts w:ascii="Times New Roman" w:hAnsi="Times New Roman" w:cs="Times New Roman"/>
          <w:sz w:val="24"/>
          <w:szCs w:val="24"/>
        </w:rPr>
        <w:t>,</w:t>
      </w:r>
      <w:r w:rsidRPr="00F30CEB">
        <w:rPr>
          <w:rFonts w:ascii="Times New Roman" w:hAnsi="Times New Roman" w:cs="Times New Roman"/>
          <w:sz w:val="24"/>
          <w:szCs w:val="24"/>
        </w:rPr>
        <w:t xml:space="preserve"> and scaled peak area.</w:t>
      </w:r>
      <w:r>
        <w:rPr>
          <w:rFonts w:ascii="Times New Roman" w:hAnsi="Times New Roman" w:cs="Times New Roman"/>
          <w:sz w:val="24"/>
          <w:szCs w:val="24"/>
        </w:rPr>
        <w:t xml:space="preserve"> Dots represent samples. Group mean is shown as a horizontal line within the box.</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rPr>
          <w:rFonts w:ascii="Times New Roman" w:hAnsi="Times New Roman" w:cs="Times New Roman"/>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i/>
          <w:sz w:val="24"/>
          <w:szCs w:val="24"/>
        </w:rPr>
        <w:t>Citric Acid Cycle(</w:t>
      </w:r>
      <w:r w:rsidRPr="00262B2E">
        <w:rPr>
          <w:rFonts w:ascii="Times New Roman" w:hAnsi="Times New Roman" w:cs="Times New Roman"/>
          <w:i/>
          <w:sz w:val="24"/>
          <w:szCs w:val="24"/>
        </w:rPr>
        <w:t>TCA</w:t>
      </w:r>
      <w:r>
        <w:rPr>
          <w:rFonts w:ascii="Times New Roman" w:hAnsi="Times New Roman" w:cs="Times New Roman"/>
          <w:i/>
          <w:sz w:val="24"/>
          <w:szCs w:val="24"/>
        </w:rPr>
        <w:t>)</w:t>
      </w:r>
      <w:r>
        <w:rPr>
          <w:rFonts w:ascii="Times New Roman" w:hAnsi="Times New Roman" w:cs="Times New Roman"/>
          <w:sz w:val="24"/>
          <w:szCs w:val="24"/>
        </w:rPr>
        <w:t xml:space="preserve"> </w:t>
      </w:r>
    </w:p>
    <w:p w:rsidR="003A6200" w:rsidRDefault="003A6200" w:rsidP="003A6200">
      <w:pPr>
        <w:autoSpaceDE w:val="0"/>
        <w:autoSpaceDN w:val="0"/>
        <w:adjustRightInd w:val="0"/>
        <w:spacing w:after="0" w:line="480" w:lineRule="auto"/>
        <w:rPr>
          <w:rFonts w:ascii="Times New Roman" w:hAnsi="Times New Roman" w:cs="Times New Roman"/>
          <w:color w:val="0070C0"/>
          <w:sz w:val="24"/>
          <w:szCs w:val="24"/>
        </w:rPr>
      </w:pPr>
      <w:r w:rsidRPr="00162E0F">
        <w:rPr>
          <w:rFonts w:ascii="Times New Roman" w:hAnsi="Times New Roman" w:cs="Times New Roman"/>
          <w:sz w:val="24"/>
          <w:szCs w:val="24"/>
        </w:rPr>
        <w:t xml:space="preserve">NAMPT inhibition </w:t>
      </w:r>
      <w:r>
        <w:rPr>
          <w:rFonts w:ascii="Times New Roman" w:hAnsi="Times New Roman" w:cs="Times New Roman"/>
          <w:sz w:val="24"/>
          <w:szCs w:val="24"/>
        </w:rPr>
        <w:t>affects</w:t>
      </w:r>
      <w:r w:rsidRPr="00162E0F">
        <w:rPr>
          <w:rFonts w:ascii="Times New Roman" w:hAnsi="Times New Roman" w:cs="Times New Roman"/>
          <w:sz w:val="24"/>
          <w:szCs w:val="24"/>
        </w:rPr>
        <w:t xml:space="preserve"> glycolysis</w:t>
      </w:r>
      <w:r>
        <w:rPr>
          <w:rFonts w:ascii="Times New Roman" w:hAnsi="Times New Roman" w:cs="Times New Roman"/>
          <w:sz w:val="24"/>
          <w:szCs w:val="24"/>
        </w:rPr>
        <w:t>, which in turn</w:t>
      </w:r>
      <w:r w:rsidRPr="00162E0F">
        <w:rPr>
          <w:rFonts w:ascii="Times New Roman" w:hAnsi="Times New Roman" w:cs="Times New Roman"/>
          <w:sz w:val="24"/>
          <w:szCs w:val="24"/>
        </w:rPr>
        <w:t xml:space="preserve"> could reduce</w:t>
      </w:r>
      <w:r>
        <w:rPr>
          <w:rFonts w:ascii="Times New Roman" w:hAnsi="Times New Roman" w:cs="Times New Roman"/>
          <w:sz w:val="24"/>
          <w:szCs w:val="24"/>
        </w:rPr>
        <w:t xml:space="preserve"> pyruvate supply to</w:t>
      </w:r>
      <w:r w:rsidRPr="00162E0F">
        <w:rPr>
          <w:rFonts w:ascii="Times New Roman" w:hAnsi="Times New Roman" w:cs="Times New Roman"/>
          <w:sz w:val="24"/>
          <w:szCs w:val="24"/>
        </w:rPr>
        <w:t xml:space="preserve"> the TCA cycle. The conversion of pyruvate</w:t>
      </w:r>
      <w:r>
        <w:rPr>
          <w:rFonts w:ascii="Times New Roman" w:hAnsi="Times New Roman" w:cs="Times New Roman"/>
          <w:sz w:val="24"/>
          <w:szCs w:val="24"/>
        </w:rPr>
        <w:t xml:space="preserve"> </w:t>
      </w:r>
      <w:r w:rsidRPr="00162E0F">
        <w:rPr>
          <w:rFonts w:ascii="Times New Roman" w:hAnsi="Times New Roman" w:cs="Times New Roman"/>
          <w:sz w:val="24"/>
          <w:szCs w:val="24"/>
        </w:rPr>
        <w:t>to acetyl-CoA represents the first step in the entry of pyruvate</w:t>
      </w:r>
      <w:r>
        <w:rPr>
          <w:rFonts w:ascii="Times New Roman" w:hAnsi="Times New Roman" w:cs="Times New Roman"/>
          <w:sz w:val="24"/>
          <w:szCs w:val="24"/>
        </w:rPr>
        <w:t xml:space="preserve"> </w:t>
      </w:r>
      <w:r w:rsidRPr="00162E0F">
        <w:rPr>
          <w:rFonts w:ascii="Times New Roman" w:hAnsi="Times New Roman" w:cs="Times New Roman"/>
          <w:sz w:val="24"/>
          <w:szCs w:val="24"/>
        </w:rPr>
        <w:t>into the TCA cycle</w:t>
      </w:r>
      <w:r>
        <w:rPr>
          <w:rFonts w:ascii="Times New Roman" w:hAnsi="Times New Roman" w:cs="Times New Roman"/>
          <w:sz w:val="24"/>
          <w:szCs w:val="24"/>
        </w:rPr>
        <w:t>,</w:t>
      </w:r>
      <w:r w:rsidRPr="00162E0F">
        <w:rPr>
          <w:rFonts w:ascii="Times New Roman" w:hAnsi="Times New Roman" w:cs="Times New Roman"/>
          <w:sz w:val="24"/>
          <w:szCs w:val="24"/>
        </w:rPr>
        <w:t xml:space="preserve"> in which multiple steps require </w:t>
      </w:r>
      <w:r>
        <w:rPr>
          <w:rFonts w:ascii="Times New Roman" w:hAnsi="Times New Roman" w:cs="Times New Roman"/>
          <w:sz w:val="24"/>
          <w:szCs w:val="24"/>
        </w:rPr>
        <w:t>NAD participation</w:t>
      </w:r>
      <w:r w:rsidRPr="00162E0F">
        <w:rPr>
          <w:rFonts w:ascii="Times New Roman" w:hAnsi="Times New Roman" w:cs="Times New Roman"/>
          <w:sz w:val="24"/>
          <w:szCs w:val="24"/>
        </w:rPr>
        <w:t>.</w:t>
      </w:r>
      <w:r>
        <w:rPr>
          <w:rFonts w:ascii="Times New Roman" w:hAnsi="Times New Roman" w:cs="Times New Roman"/>
          <w:sz w:val="24"/>
          <w:szCs w:val="24"/>
        </w:rPr>
        <w:t xml:space="preserve"> We observed a decrease in citrate levels more pronounced in HCT116 cells when treated with FK866. A dose-dependent decrease in aconitate, fumarate, and malate levels was observed in A2780 cells (Supplemental material S4, S5). A decrease in citrate, isocitrate, and succinate levels was observed in HCT116 cells, whereas this effect was abolished at the presence of nicotinic acid (Supplementary Figure 5). Acetyl-CoA levels were decreased in A2780 cells and increased in a dose-dependent manner in HCT116 cells. This increase was abolished by the addition of nicotinic acid. Pyruvate levels were not changed in HCT116 cells but were decreased in a dose-dependent manner in A2780 cells (Supplemental Figure 5). These observations illustrate a cell-specific response to the applied treatments.</w:t>
      </w:r>
    </w:p>
    <w:p w:rsidR="003A6200" w:rsidRDefault="003A6200" w:rsidP="003A6200">
      <w:pPr>
        <w:autoSpaceDE w:val="0"/>
        <w:autoSpaceDN w:val="0"/>
        <w:adjustRightInd w:val="0"/>
        <w:spacing w:after="0" w:line="240" w:lineRule="auto"/>
        <w:rPr>
          <w:rFonts w:ascii="Times New Roman" w:hAnsi="Times New Roman" w:cs="Times New Roman"/>
          <w:color w:val="0070C0"/>
          <w:sz w:val="24"/>
          <w:szCs w:val="24"/>
        </w:rPr>
      </w:pPr>
    </w:p>
    <w:p w:rsidR="003A6200" w:rsidRDefault="003A6200" w:rsidP="003A6200">
      <w:pPr>
        <w:autoSpaceDE w:val="0"/>
        <w:autoSpaceDN w:val="0"/>
        <w:adjustRightInd w:val="0"/>
        <w:spacing w:after="0" w:line="240" w:lineRule="auto"/>
        <w:jc w:val="center"/>
        <w:rPr>
          <w:rFonts w:ascii="Times New Roman" w:hAnsi="Times New Roman" w:cs="Times New Roman"/>
          <w:color w:val="0070C0"/>
          <w:sz w:val="24"/>
          <w:szCs w:val="24"/>
        </w:rPr>
      </w:pPr>
      <w:r>
        <w:rPr>
          <w:noProof/>
        </w:rPr>
        <w:lastRenderedPageBreak/>
        <w:drawing>
          <wp:inline distT="0" distB="0" distL="0" distR="0" wp14:anchorId="0A7F29E7" wp14:editId="4B77363E">
            <wp:extent cx="587184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871845" cy="8229600"/>
                    </a:xfrm>
                    <a:prstGeom prst="rect">
                      <a:avLst/>
                    </a:prstGeom>
                  </pic:spPr>
                </pic:pic>
              </a:graphicData>
            </a:graphic>
          </wp:inline>
        </w:drawing>
      </w:r>
    </w:p>
    <w:p w:rsidR="003A6200" w:rsidRDefault="003A6200" w:rsidP="003A6200">
      <w:pPr>
        <w:autoSpaceDE w:val="0"/>
        <w:autoSpaceDN w:val="0"/>
        <w:adjustRightInd w:val="0"/>
        <w:spacing w:after="0" w:line="240" w:lineRule="auto"/>
        <w:jc w:val="center"/>
        <w:rPr>
          <w:rFonts w:ascii="Times New Roman" w:hAnsi="Times New Roman" w:cs="Times New Roman"/>
          <w:color w:val="0070C0"/>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Supplementary Figure 5. One-way analysis of variance</w:t>
      </w:r>
      <w:r w:rsidDel="00656947">
        <w:rPr>
          <w:rFonts w:ascii="Times New Roman" w:hAnsi="Times New Roman" w:cs="Times New Roman"/>
          <w:sz w:val="24"/>
          <w:szCs w:val="24"/>
        </w:rPr>
        <w:t xml:space="preserve"> </w:t>
      </w:r>
      <w:r>
        <w:rPr>
          <w:rFonts w:ascii="Times New Roman" w:hAnsi="Times New Roman" w:cs="Times New Roman"/>
          <w:sz w:val="24"/>
          <w:szCs w:val="24"/>
        </w:rPr>
        <w:t xml:space="preserve">plots illustrating the observed metabolic alterations in TCA cycle after FK866 treatment at 50 and 5 nM concentrations in A2780 (left panels) and HCT116 (right panels) cells, respectively, with (+NA) and without (–NA) nicotinic acid addition. </w:t>
      </w:r>
      <w:r w:rsidRPr="00F30CEB">
        <w:rPr>
          <w:rFonts w:ascii="Times New Roman" w:hAnsi="Times New Roman" w:cs="Times New Roman"/>
          <w:sz w:val="24"/>
          <w:szCs w:val="24"/>
        </w:rPr>
        <w:t>Gr</w:t>
      </w:r>
      <w:r>
        <w:rPr>
          <w:rFonts w:ascii="Times New Roman" w:hAnsi="Times New Roman" w:cs="Times New Roman"/>
          <w:sz w:val="24"/>
          <w:szCs w:val="24"/>
        </w:rPr>
        <w:t xml:space="preserve">and mean is shown </w:t>
      </w:r>
      <w:r w:rsidRPr="00F30CEB">
        <w:rPr>
          <w:rFonts w:ascii="Times New Roman" w:hAnsi="Times New Roman" w:cs="Times New Roman"/>
          <w:sz w:val="24"/>
          <w:szCs w:val="24"/>
        </w:rPr>
        <w:t>as a horizo</w:t>
      </w:r>
      <w:r>
        <w:rPr>
          <w:rFonts w:ascii="Times New Roman" w:hAnsi="Times New Roman" w:cs="Times New Roman"/>
          <w:sz w:val="24"/>
          <w:szCs w:val="24"/>
        </w:rPr>
        <w:t>ntal line located within panel</w:t>
      </w:r>
      <w:r w:rsidRPr="00F30CEB">
        <w:rPr>
          <w:rFonts w:ascii="Times New Roman" w:hAnsi="Times New Roman" w:cs="Times New Roman"/>
          <w:sz w:val="24"/>
          <w:szCs w:val="24"/>
        </w:rPr>
        <w:t xml:space="preserve">. </w:t>
      </w:r>
      <w:r>
        <w:rPr>
          <w:rFonts w:ascii="Times New Roman" w:hAnsi="Times New Roman" w:cs="Times New Roman"/>
          <w:sz w:val="24"/>
          <w:szCs w:val="24"/>
        </w:rPr>
        <w:t>The y-</w:t>
      </w:r>
      <w:r w:rsidRPr="00F30CEB">
        <w:rPr>
          <w:rFonts w:ascii="Times New Roman" w:hAnsi="Times New Roman" w:cs="Times New Roman"/>
          <w:sz w:val="24"/>
          <w:szCs w:val="24"/>
        </w:rPr>
        <w:t xml:space="preserve">axis illustrates </w:t>
      </w:r>
      <w:r>
        <w:rPr>
          <w:rFonts w:ascii="Times New Roman" w:hAnsi="Times New Roman" w:cs="Times New Roman"/>
          <w:sz w:val="24"/>
          <w:szCs w:val="24"/>
        </w:rPr>
        <w:t xml:space="preserve">the </w:t>
      </w:r>
      <w:r w:rsidRPr="00F30CEB">
        <w:rPr>
          <w:rFonts w:ascii="Times New Roman" w:hAnsi="Times New Roman" w:cs="Times New Roman"/>
          <w:sz w:val="24"/>
          <w:szCs w:val="24"/>
        </w:rPr>
        <w:t>normalized, log transformed</w:t>
      </w:r>
      <w:r>
        <w:rPr>
          <w:rFonts w:ascii="Times New Roman" w:hAnsi="Times New Roman" w:cs="Times New Roman"/>
          <w:sz w:val="24"/>
          <w:szCs w:val="24"/>
        </w:rPr>
        <w:t>,</w:t>
      </w:r>
      <w:r w:rsidRPr="00F30CEB">
        <w:rPr>
          <w:rFonts w:ascii="Times New Roman" w:hAnsi="Times New Roman" w:cs="Times New Roman"/>
          <w:sz w:val="24"/>
          <w:szCs w:val="24"/>
        </w:rPr>
        <w:t xml:space="preserve"> and scaled peak area.</w:t>
      </w:r>
      <w:r>
        <w:rPr>
          <w:rFonts w:ascii="Times New Roman" w:hAnsi="Times New Roman" w:cs="Times New Roman"/>
          <w:sz w:val="24"/>
          <w:szCs w:val="24"/>
        </w:rPr>
        <w:t xml:space="preserve"> Dots represent samples. Group mean is shown as a horizontal line within the box.</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240" w:lineRule="auto"/>
      </w:pPr>
    </w:p>
    <w:p w:rsidR="003A6200" w:rsidRDefault="003A6200" w:rsidP="003A6200"/>
    <w:p w:rsidR="003A6200" w:rsidRDefault="003A6200" w:rsidP="003A6200">
      <w:pPr>
        <w:autoSpaceDE w:val="0"/>
        <w:autoSpaceDN w:val="0"/>
        <w:adjustRightInd w:val="0"/>
        <w:spacing w:after="0" w:line="480" w:lineRule="auto"/>
        <w:rPr>
          <w:rFonts w:ascii="Times New Roman" w:hAnsi="Times New Roman" w:cs="Times New Roman"/>
          <w:sz w:val="24"/>
          <w:szCs w:val="24"/>
        </w:rPr>
      </w:pPr>
      <w:r w:rsidRPr="00496841">
        <w:rPr>
          <w:rFonts w:ascii="Times New Roman" w:hAnsi="Times New Roman" w:cs="Times New Roman"/>
          <w:i/>
          <w:sz w:val="24"/>
          <w:szCs w:val="24"/>
        </w:rPr>
        <w:t>Serine Biosynthesis</w:t>
      </w:r>
      <w:r>
        <w:rPr>
          <w:rFonts w:ascii="Times New Roman" w:hAnsi="Times New Roman" w:cs="Times New Roman"/>
          <w:i/>
          <w:sz w:val="24"/>
          <w:szCs w:val="24"/>
        </w:rPr>
        <w:t xml:space="preserve"> </w:t>
      </w:r>
    </w:p>
    <w:p w:rsidR="003A6200" w:rsidRDefault="003A6200" w:rsidP="003A6200">
      <w:pPr>
        <w:spacing w:line="480" w:lineRule="auto"/>
        <w:rPr>
          <w:rFonts w:ascii="Times New Roman" w:hAnsi="Times New Roman" w:cs="Times New Roman"/>
          <w:sz w:val="24"/>
          <w:szCs w:val="24"/>
        </w:rPr>
      </w:pPr>
      <w:r>
        <w:rPr>
          <w:rFonts w:ascii="Times New Roman" w:hAnsi="Times New Roman" w:cs="Times New Roman"/>
          <w:sz w:val="24"/>
          <w:szCs w:val="24"/>
        </w:rPr>
        <w:t xml:space="preserve">Levels of ketoglutarate were elevated in A2780 cells but not in HCT116 cells (Supplementary Figure 5). Levels of glycine and serine were not significantly changed in either cell line. Phosphoserine levels were marginally elevated in both cell lines. </w:t>
      </w:r>
      <w:r w:rsidRPr="00421B7E">
        <w:rPr>
          <w:rFonts w:ascii="Times New Roman" w:hAnsi="Times New Roman" w:cs="Times New Roman"/>
          <w:sz w:val="24"/>
          <w:szCs w:val="24"/>
        </w:rPr>
        <w:t xml:space="preserve">The addition of nicotinic acid abolished these effects in HCT116 </w:t>
      </w:r>
      <w:r>
        <w:rPr>
          <w:rFonts w:ascii="Times New Roman" w:hAnsi="Times New Roman" w:cs="Times New Roman"/>
          <w:sz w:val="24"/>
          <w:szCs w:val="24"/>
        </w:rPr>
        <w:t xml:space="preserve">cells </w:t>
      </w:r>
      <w:r w:rsidRPr="00421B7E">
        <w:rPr>
          <w:rFonts w:ascii="Times New Roman" w:hAnsi="Times New Roman" w:cs="Times New Roman"/>
          <w:sz w:val="24"/>
          <w:szCs w:val="24"/>
        </w:rPr>
        <w:t>but not in A2780</w:t>
      </w:r>
      <w:r>
        <w:rPr>
          <w:rFonts w:ascii="Times New Roman" w:hAnsi="Times New Roman" w:cs="Times New Roman"/>
          <w:sz w:val="24"/>
          <w:szCs w:val="24"/>
        </w:rPr>
        <w:t xml:space="preserve"> cells (Supplemental material S3-S5.). Interestingly, threonine levels were elevated in response to FK866 treatment in both cell lines (Supplementary Figure 6). This effect was neutralized with nicotinic acid treatment, supporting NAMPT dependence of threonine biosynthesis starting from aspartate.</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noProof/>
        </w:rPr>
        <w:lastRenderedPageBreak/>
        <w:drawing>
          <wp:inline distT="0" distB="0" distL="0" distR="0" wp14:anchorId="41B517E9" wp14:editId="5B631C8F">
            <wp:extent cx="5943600"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638300"/>
                    </a:xfrm>
                    <a:prstGeom prst="rect">
                      <a:avLst/>
                    </a:prstGeom>
                  </pic:spPr>
                </pic:pic>
              </a:graphicData>
            </a:graphic>
          </wp:inline>
        </w:drawing>
      </w:r>
    </w:p>
    <w:p w:rsidR="003A6200" w:rsidRDefault="003A6200" w:rsidP="003A620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Supplementary Figure 6. One-way analysis of variance</w:t>
      </w:r>
      <w:r w:rsidDel="00656947">
        <w:rPr>
          <w:rFonts w:ascii="Times New Roman" w:hAnsi="Times New Roman" w:cs="Times New Roman"/>
          <w:sz w:val="24"/>
          <w:szCs w:val="24"/>
        </w:rPr>
        <w:t xml:space="preserve"> </w:t>
      </w:r>
      <w:r>
        <w:rPr>
          <w:rFonts w:ascii="Times New Roman" w:hAnsi="Times New Roman" w:cs="Times New Roman"/>
          <w:sz w:val="24"/>
          <w:szCs w:val="24"/>
        </w:rPr>
        <w:t>plots illustrating the observed c</w:t>
      </w:r>
      <w:r w:rsidRPr="009A574E">
        <w:rPr>
          <w:rFonts w:ascii="Times New Roman" w:hAnsi="Times New Roman" w:cs="Times New Roman"/>
          <w:sz w:val="24"/>
          <w:szCs w:val="24"/>
        </w:rPr>
        <w:t xml:space="preserve">hanges </w:t>
      </w:r>
      <w:r>
        <w:rPr>
          <w:rFonts w:ascii="Times New Roman" w:hAnsi="Times New Roman" w:cs="Times New Roman"/>
          <w:sz w:val="24"/>
          <w:szCs w:val="24"/>
        </w:rPr>
        <w:t>in</w:t>
      </w:r>
      <w:r w:rsidRPr="009A574E">
        <w:rPr>
          <w:rFonts w:ascii="Times New Roman" w:hAnsi="Times New Roman" w:cs="Times New Roman"/>
          <w:sz w:val="24"/>
          <w:szCs w:val="24"/>
        </w:rPr>
        <w:t xml:space="preserve"> </w:t>
      </w:r>
      <w:r>
        <w:rPr>
          <w:rFonts w:ascii="Times New Roman" w:hAnsi="Times New Roman" w:cs="Times New Roman"/>
          <w:sz w:val="24"/>
          <w:szCs w:val="24"/>
        </w:rPr>
        <w:t>threonine</w:t>
      </w:r>
      <w:r w:rsidRPr="009A574E">
        <w:rPr>
          <w:rFonts w:ascii="Times New Roman" w:hAnsi="Times New Roman" w:cs="Times New Roman"/>
          <w:sz w:val="24"/>
          <w:szCs w:val="24"/>
        </w:rPr>
        <w:t xml:space="preserve"> levels after FK866 treatment </w:t>
      </w:r>
      <w:r>
        <w:rPr>
          <w:rFonts w:ascii="Times New Roman" w:hAnsi="Times New Roman" w:cs="Times New Roman"/>
          <w:sz w:val="24"/>
          <w:szCs w:val="24"/>
        </w:rPr>
        <w:t xml:space="preserve">at 50 and 5 nM concentrations in A2780 (left panel) and HCT116 (right panel) cells, respectively, with (+NA) and without (–NA) nicotinic acid addition. </w:t>
      </w:r>
      <w:r w:rsidRPr="00F30CEB">
        <w:rPr>
          <w:rFonts w:ascii="Times New Roman" w:hAnsi="Times New Roman" w:cs="Times New Roman"/>
          <w:sz w:val="24"/>
          <w:szCs w:val="24"/>
        </w:rPr>
        <w:t>Gr</w:t>
      </w:r>
      <w:r>
        <w:rPr>
          <w:rFonts w:ascii="Times New Roman" w:hAnsi="Times New Roman" w:cs="Times New Roman"/>
          <w:sz w:val="24"/>
          <w:szCs w:val="24"/>
        </w:rPr>
        <w:t xml:space="preserve">and mean is shown </w:t>
      </w:r>
      <w:r w:rsidRPr="00F30CEB">
        <w:rPr>
          <w:rFonts w:ascii="Times New Roman" w:hAnsi="Times New Roman" w:cs="Times New Roman"/>
          <w:sz w:val="24"/>
          <w:szCs w:val="24"/>
        </w:rPr>
        <w:t>as a horizo</w:t>
      </w:r>
      <w:r>
        <w:rPr>
          <w:rFonts w:ascii="Times New Roman" w:hAnsi="Times New Roman" w:cs="Times New Roman"/>
          <w:sz w:val="24"/>
          <w:szCs w:val="24"/>
        </w:rPr>
        <w:t>ntal line located within panel</w:t>
      </w:r>
      <w:r w:rsidRPr="00F30CEB">
        <w:rPr>
          <w:rFonts w:ascii="Times New Roman" w:hAnsi="Times New Roman" w:cs="Times New Roman"/>
          <w:sz w:val="24"/>
          <w:szCs w:val="24"/>
        </w:rPr>
        <w:t xml:space="preserve">. </w:t>
      </w:r>
      <w:r>
        <w:rPr>
          <w:rFonts w:ascii="Times New Roman" w:hAnsi="Times New Roman" w:cs="Times New Roman"/>
          <w:sz w:val="24"/>
          <w:szCs w:val="24"/>
        </w:rPr>
        <w:t>The y-</w:t>
      </w:r>
      <w:r w:rsidRPr="00F30CEB">
        <w:rPr>
          <w:rFonts w:ascii="Times New Roman" w:hAnsi="Times New Roman" w:cs="Times New Roman"/>
          <w:sz w:val="24"/>
          <w:szCs w:val="24"/>
        </w:rPr>
        <w:t xml:space="preserve">axis illustrates </w:t>
      </w:r>
      <w:r>
        <w:rPr>
          <w:rFonts w:ascii="Times New Roman" w:hAnsi="Times New Roman" w:cs="Times New Roman"/>
          <w:sz w:val="24"/>
          <w:szCs w:val="24"/>
        </w:rPr>
        <w:t xml:space="preserve">the </w:t>
      </w:r>
      <w:r w:rsidRPr="00F30CEB">
        <w:rPr>
          <w:rFonts w:ascii="Times New Roman" w:hAnsi="Times New Roman" w:cs="Times New Roman"/>
          <w:sz w:val="24"/>
          <w:szCs w:val="24"/>
        </w:rPr>
        <w:t>normalized, log transformed</w:t>
      </w:r>
      <w:r>
        <w:rPr>
          <w:rFonts w:ascii="Times New Roman" w:hAnsi="Times New Roman" w:cs="Times New Roman"/>
          <w:sz w:val="24"/>
          <w:szCs w:val="24"/>
        </w:rPr>
        <w:t>,</w:t>
      </w:r>
      <w:r w:rsidRPr="00F30CEB">
        <w:rPr>
          <w:rFonts w:ascii="Times New Roman" w:hAnsi="Times New Roman" w:cs="Times New Roman"/>
          <w:sz w:val="24"/>
          <w:szCs w:val="24"/>
        </w:rPr>
        <w:t xml:space="preserve"> and scaled peak area.</w:t>
      </w:r>
      <w:r>
        <w:rPr>
          <w:rFonts w:ascii="Times New Roman" w:hAnsi="Times New Roman" w:cs="Times New Roman"/>
          <w:sz w:val="24"/>
          <w:szCs w:val="24"/>
        </w:rPr>
        <w:t xml:space="preserve"> Dots represent samples. Group mean is shown as a horizontal line within the box.</w:t>
      </w: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Default="003A6200" w:rsidP="003A6200">
      <w:pPr>
        <w:autoSpaceDE w:val="0"/>
        <w:autoSpaceDN w:val="0"/>
        <w:adjustRightInd w:val="0"/>
        <w:spacing w:after="0" w:line="480" w:lineRule="auto"/>
        <w:rPr>
          <w:rFonts w:ascii="Times New Roman" w:hAnsi="Times New Roman" w:cs="Times New Roman"/>
          <w:sz w:val="24"/>
          <w:szCs w:val="24"/>
        </w:rPr>
      </w:pPr>
    </w:p>
    <w:p w:rsidR="003A6200" w:rsidRPr="00FC0A91" w:rsidRDefault="003A6200" w:rsidP="003A6200">
      <w:pPr>
        <w:autoSpaceDE w:val="0"/>
        <w:autoSpaceDN w:val="0"/>
        <w:adjustRightInd w:val="0"/>
        <w:spacing w:after="0" w:line="480" w:lineRule="auto"/>
        <w:outlineLvl w:val="0"/>
        <w:rPr>
          <w:rFonts w:ascii="Times New Roman" w:hAnsi="Times New Roman" w:cs="Times New Roman"/>
          <w:b/>
          <w:sz w:val="24"/>
          <w:szCs w:val="24"/>
        </w:rPr>
      </w:pPr>
      <w:r w:rsidRPr="00FC0A91">
        <w:rPr>
          <w:rFonts w:ascii="Times New Roman" w:hAnsi="Times New Roman" w:cs="Times New Roman"/>
          <w:b/>
          <w:sz w:val="24"/>
          <w:szCs w:val="24"/>
        </w:rPr>
        <w:t>References</w:t>
      </w:r>
    </w:p>
    <w:p w:rsidR="003A6200" w:rsidRPr="00711776" w:rsidRDefault="003A6200" w:rsidP="003A6200">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r w:rsidRPr="00711776">
        <w:rPr>
          <w:rFonts w:ascii="Times New Roman" w:hAnsi="Times New Roman" w:cs="Times New Roman"/>
          <w:sz w:val="24"/>
          <w:szCs w:val="24"/>
        </w:rPr>
        <w:t xml:space="preserve">Watson M, Roulston A, Bélec L, Billot X, </w:t>
      </w:r>
      <w:r w:rsidRPr="00711776">
        <w:rPr>
          <w:rFonts w:ascii="Times New Roman" w:hAnsi="Times New Roman" w:cs="Times New Roman"/>
          <w:sz w:val="24"/>
          <w:szCs w:val="24"/>
          <w:shd w:val="clear" w:color="auto" w:fill="FFFFFF"/>
        </w:rPr>
        <w:t>et al.</w:t>
      </w:r>
      <w:r w:rsidRPr="00711776">
        <w:rPr>
          <w:rFonts w:ascii="Times New Roman" w:hAnsi="Times New Roman" w:cs="Times New Roman"/>
          <w:sz w:val="24"/>
          <w:szCs w:val="24"/>
        </w:rPr>
        <w:t xml:space="preserve"> (2009) The small molecule GMX1778 is a potent inhibitor of NAD+ biosynthesis: strategy for enhanced therapy in nicotinic acid phosphoribosyltransferase 1-deficient tumors. Mol Cell Biol 29: 5872-5888.</w:t>
      </w:r>
    </w:p>
    <w:p w:rsidR="003A6200" w:rsidRPr="003A6FB4" w:rsidRDefault="003A6200" w:rsidP="003A6200">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r w:rsidRPr="003A6FB4">
        <w:rPr>
          <w:rFonts w:ascii="Times New Roman" w:hAnsi="Times New Roman" w:cs="Times New Roman"/>
          <w:sz w:val="24"/>
          <w:szCs w:val="24"/>
        </w:rPr>
        <w:t>Tan B, Young DA, Lu ZH, Wang T, Meier TI, et al. (2013) Pharmacological inhibition of nicotinamide phosphoribosyltransferase (NAMPT), an enzyme essential for NAD biosynthesis, in human cancer cells: metabolic basis and potential clinical implications.</w:t>
      </w:r>
      <w:r w:rsidRPr="0097174A">
        <w:t xml:space="preserve"> </w:t>
      </w:r>
      <w:r w:rsidRPr="003A6FB4">
        <w:rPr>
          <w:rFonts w:ascii="Times New Roman" w:hAnsi="Times New Roman" w:cs="Times New Roman"/>
          <w:sz w:val="24"/>
          <w:szCs w:val="24"/>
        </w:rPr>
        <w:t>J Biol Chem 288: 3500-3511.</w:t>
      </w:r>
    </w:p>
    <w:p w:rsidR="003A6200" w:rsidRPr="003A6FB4" w:rsidRDefault="003A6200" w:rsidP="003A6200">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r w:rsidRPr="003A6FB4">
        <w:rPr>
          <w:rFonts w:ascii="Times New Roman" w:hAnsi="Times New Roman" w:cs="Times New Roman"/>
          <w:sz w:val="24"/>
          <w:szCs w:val="24"/>
        </w:rPr>
        <w:lastRenderedPageBreak/>
        <w:t>Hasmann M, Schemainda I (2003) FK866, a highly specific noncompetitive inhibitor of nicotinamide phosphoribosyltransferase, represents a novel mechanism for induction of tumor cell apoptosis. Cancer Res 63: 7436-7442.</w:t>
      </w:r>
    </w:p>
    <w:p w:rsidR="003A6200" w:rsidRDefault="003A6200" w:rsidP="003A6200">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r w:rsidRPr="00063FC4">
        <w:rPr>
          <w:rFonts w:ascii="Times New Roman" w:hAnsi="Times New Roman" w:cs="Times New Roman"/>
          <w:sz w:val="24"/>
          <w:szCs w:val="24"/>
        </w:rPr>
        <w:t>Olesen UH, Thougaard AV, Jensen PB, Sehested M (2010) A</w:t>
      </w:r>
      <w:r>
        <w:rPr>
          <w:rFonts w:ascii="Times New Roman" w:hAnsi="Times New Roman" w:cs="Times New Roman"/>
          <w:sz w:val="24"/>
          <w:szCs w:val="24"/>
        </w:rPr>
        <w:t xml:space="preserve"> </w:t>
      </w:r>
      <w:r w:rsidRPr="00063FC4">
        <w:rPr>
          <w:rFonts w:ascii="Times New Roman" w:hAnsi="Times New Roman" w:cs="Times New Roman"/>
          <w:sz w:val="24"/>
          <w:szCs w:val="24"/>
        </w:rPr>
        <w:t>preclinical study on the rescue of normal tissue by nicotinic acid in high</w:t>
      </w:r>
      <w:r>
        <w:rPr>
          <w:rFonts w:ascii="Times New Roman" w:hAnsi="Times New Roman" w:cs="Times New Roman"/>
          <w:sz w:val="24"/>
          <w:szCs w:val="24"/>
        </w:rPr>
        <w:t xml:space="preserve"> </w:t>
      </w:r>
      <w:r w:rsidRPr="00063FC4">
        <w:rPr>
          <w:rFonts w:ascii="Times New Roman" w:hAnsi="Times New Roman" w:cs="Times New Roman"/>
          <w:sz w:val="24"/>
          <w:szCs w:val="24"/>
        </w:rPr>
        <w:t>dose</w:t>
      </w:r>
      <w:r>
        <w:rPr>
          <w:rFonts w:ascii="Times New Roman" w:hAnsi="Times New Roman" w:cs="Times New Roman"/>
          <w:sz w:val="24"/>
          <w:szCs w:val="24"/>
        </w:rPr>
        <w:t xml:space="preserve"> </w:t>
      </w:r>
      <w:r w:rsidRPr="00063FC4">
        <w:rPr>
          <w:rFonts w:ascii="Times New Roman" w:hAnsi="Times New Roman" w:cs="Times New Roman"/>
          <w:sz w:val="24"/>
          <w:szCs w:val="24"/>
        </w:rPr>
        <w:t>treatment with APO866, a specific nicotinamide phosphoribosyltransferase</w:t>
      </w:r>
      <w:r>
        <w:rPr>
          <w:rFonts w:ascii="Times New Roman" w:hAnsi="Times New Roman" w:cs="Times New Roman"/>
          <w:sz w:val="24"/>
          <w:szCs w:val="24"/>
        </w:rPr>
        <w:t xml:space="preserve"> </w:t>
      </w:r>
      <w:r w:rsidRPr="00063FC4">
        <w:rPr>
          <w:rFonts w:ascii="Times New Roman" w:hAnsi="Times New Roman" w:cs="Times New Roman"/>
          <w:sz w:val="24"/>
          <w:szCs w:val="24"/>
        </w:rPr>
        <w:t>inhibitor. Mol Cancer Ther 9</w:t>
      </w:r>
      <w:r>
        <w:rPr>
          <w:rFonts w:ascii="Times New Roman" w:hAnsi="Times New Roman" w:cs="Times New Roman"/>
          <w:sz w:val="24"/>
          <w:szCs w:val="24"/>
        </w:rPr>
        <w:t>:</w:t>
      </w:r>
      <w:r w:rsidRPr="00063FC4">
        <w:rPr>
          <w:rFonts w:ascii="Times New Roman" w:hAnsi="Times New Roman" w:cs="Times New Roman"/>
          <w:sz w:val="24"/>
          <w:szCs w:val="24"/>
        </w:rPr>
        <w:t xml:space="preserve"> 1609</w:t>
      </w:r>
      <w:r>
        <w:rPr>
          <w:rFonts w:ascii="Times New Roman" w:hAnsi="Times New Roman" w:cs="Times New Roman"/>
          <w:sz w:val="24"/>
          <w:szCs w:val="24"/>
        </w:rPr>
        <w:t>-</w:t>
      </w:r>
      <w:r w:rsidRPr="00063FC4">
        <w:rPr>
          <w:rFonts w:ascii="Times New Roman" w:hAnsi="Times New Roman" w:cs="Times New Roman"/>
          <w:sz w:val="24"/>
          <w:szCs w:val="24"/>
        </w:rPr>
        <w:t>1617</w:t>
      </w:r>
      <w:r>
        <w:rPr>
          <w:rFonts w:ascii="Times New Roman" w:hAnsi="Times New Roman" w:cs="Times New Roman"/>
          <w:sz w:val="24"/>
          <w:szCs w:val="24"/>
        </w:rPr>
        <w:t>.</w:t>
      </w:r>
    </w:p>
    <w:p w:rsidR="003A6200" w:rsidRPr="00736964" w:rsidRDefault="003A6200" w:rsidP="003A6200">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r w:rsidRPr="00736964">
        <w:rPr>
          <w:rFonts w:ascii="Times New Roman" w:hAnsi="Times New Roman" w:cs="Times New Roman"/>
          <w:sz w:val="24"/>
          <w:szCs w:val="24"/>
        </w:rPr>
        <w:t>Busso N, Karababa M, Nobile M, Rolaz A, Van Gool F,</w:t>
      </w:r>
      <w:r w:rsidRPr="00736964">
        <w:rPr>
          <w:rFonts w:ascii="Times New Roman" w:hAnsi="Times New Roman" w:cs="Times New Roman"/>
          <w:sz w:val="24"/>
          <w:szCs w:val="24"/>
          <w:shd w:val="clear" w:color="auto" w:fill="FFFFFF"/>
        </w:rPr>
        <w:t xml:space="preserve"> et al.</w:t>
      </w:r>
      <w:r w:rsidRPr="00736964">
        <w:rPr>
          <w:rFonts w:ascii="Times New Roman" w:hAnsi="Times New Roman" w:cs="Times New Roman"/>
          <w:sz w:val="24"/>
          <w:szCs w:val="24"/>
        </w:rPr>
        <w:t xml:space="preserve"> (2008) Pharmacological inhibition of nicotinamide phosphoribosyltransferase/visfatin enzymatic activity identifies a new inflammatory pathway linked to NAD. PLoS One 3: e2267.</w:t>
      </w:r>
    </w:p>
    <w:p w:rsidR="003A6200" w:rsidRPr="00711776" w:rsidRDefault="003A6200" w:rsidP="003A6200">
      <w:pPr>
        <w:pStyle w:val="ListParagraph"/>
        <w:autoSpaceDE w:val="0"/>
        <w:autoSpaceDN w:val="0"/>
        <w:adjustRightInd w:val="0"/>
        <w:spacing w:after="0" w:line="480" w:lineRule="auto"/>
        <w:rPr>
          <w:rFonts w:ascii="Times New Roman" w:hAnsi="Times New Roman" w:cs="Times New Roman"/>
          <w:sz w:val="24"/>
          <w:szCs w:val="24"/>
        </w:rPr>
      </w:pPr>
    </w:p>
    <w:p w:rsidR="003A6200" w:rsidRDefault="003A6200" w:rsidP="003A6200">
      <w:pPr>
        <w:spacing w:line="480" w:lineRule="auto"/>
      </w:pPr>
    </w:p>
    <w:p w:rsidR="0054374F" w:rsidRDefault="007C1CFE"/>
    <w:sectPr w:rsidR="0054374F" w:rsidSect="00497E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20F62"/>
    <w:multiLevelType w:val="hybridMultilevel"/>
    <w:tmpl w:val="4A3C3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A4C"/>
    <w:rsid w:val="000616A9"/>
    <w:rsid w:val="003A6200"/>
    <w:rsid w:val="007274FF"/>
    <w:rsid w:val="007C1CFE"/>
    <w:rsid w:val="00874B0E"/>
    <w:rsid w:val="00885A4C"/>
    <w:rsid w:val="00A50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85A4C"/>
    <w:rPr>
      <w:sz w:val="16"/>
      <w:szCs w:val="16"/>
    </w:rPr>
  </w:style>
  <w:style w:type="paragraph" w:styleId="CommentText">
    <w:name w:val="annotation text"/>
    <w:basedOn w:val="Normal"/>
    <w:link w:val="CommentTextChar"/>
    <w:uiPriority w:val="99"/>
    <w:semiHidden/>
    <w:unhideWhenUsed/>
    <w:rsid w:val="00885A4C"/>
    <w:pPr>
      <w:spacing w:line="240" w:lineRule="auto"/>
    </w:pPr>
    <w:rPr>
      <w:sz w:val="20"/>
      <w:szCs w:val="20"/>
    </w:rPr>
  </w:style>
  <w:style w:type="character" w:customStyle="1" w:styleId="CommentTextChar">
    <w:name w:val="Comment Text Char"/>
    <w:basedOn w:val="DefaultParagraphFont"/>
    <w:link w:val="CommentText"/>
    <w:uiPriority w:val="99"/>
    <w:semiHidden/>
    <w:rsid w:val="00885A4C"/>
    <w:rPr>
      <w:sz w:val="20"/>
      <w:szCs w:val="20"/>
    </w:rPr>
  </w:style>
  <w:style w:type="paragraph" w:styleId="ListParagraph">
    <w:name w:val="List Paragraph"/>
    <w:basedOn w:val="Normal"/>
    <w:uiPriority w:val="34"/>
    <w:qFormat/>
    <w:rsid w:val="00885A4C"/>
    <w:pPr>
      <w:ind w:left="720"/>
      <w:contextualSpacing/>
    </w:pPr>
  </w:style>
  <w:style w:type="paragraph" w:styleId="BalloonText">
    <w:name w:val="Balloon Text"/>
    <w:basedOn w:val="Normal"/>
    <w:link w:val="BalloonTextChar"/>
    <w:uiPriority w:val="99"/>
    <w:semiHidden/>
    <w:unhideWhenUsed/>
    <w:rsid w:val="00885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A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85A4C"/>
    <w:rPr>
      <w:sz w:val="16"/>
      <w:szCs w:val="16"/>
    </w:rPr>
  </w:style>
  <w:style w:type="paragraph" w:styleId="CommentText">
    <w:name w:val="annotation text"/>
    <w:basedOn w:val="Normal"/>
    <w:link w:val="CommentTextChar"/>
    <w:uiPriority w:val="99"/>
    <w:semiHidden/>
    <w:unhideWhenUsed/>
    <w:rsid w:val="00885A4C"/>
    <w:pPr>
      <w:spacing w:line="240" w:lineRule="auto"/>
    </w:pPr>
    <w:rPr>
      <w:sz w:val="20"/>
      <w:szCs w:val="20"/>
    </w:rPr>
  </w:style>
  <w:style w:type="character" w:customStyle="1" w:styleId="CommentTextChar">
    <w:name w:val="Comment Text Char"/>
    <w:basedOn w:val="DefaultParagraphFont"/>
    <w:link w:val="CommentText"/>
    <w:uiPriority w:val="99"/>
    <w:semiHidden/>
    <w:rsid w:val="00885A4C"/>
    <w:rPr>
      <w:sz w:val="20"/>
      <w:szCs w:val="20"/>
    </w:rPr>
  </w:style>
  <w:style w:type="paragraph" w:styleId="ListParagraph">
    <w:name w:val="List Paragraph"/>
    <w:basedOn w:val="Normal"/>
    <w:uiPriority w:val="34"/>
    <w:qFormat/>
    <w:rsid w:val="00885A4C"/>
    <w:pPr>
      <w:ind w:left="720"/>
      <w:contextualSpacing/>
    </w:pPr>
  </w:style>
  <w:style w:type="paragraph" w:styleId="BalloonText">
    <w:name w:val="Balloon Text"/>
    <w:basedOn w:val="Normal"/>
    <w:link w:val="BalloonTextChar"/>
    <w:uiPriority w:val="99"/>
    <w:semiHidden/>
    <w:unhideWhenUsed/>
    <w:rsid w:val="00885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A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Eli Lilly and Company</Company>
  <LinksUpToDate>false</LinksUpToDate>
  <CharactersWithSpaces>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V Tolstikov</dc:creator>
  <cp:lastModifiedBy>C033723</cp:lastModifiedBy>
  <cp:revision>2</cp:revision>
  <dcterms:created xsi:type="dcterms:W3CDTF">2014-11-13T16:45:00Z</dcterms:created>
  <dcterms:modified xsi:type="dcterms:W3CDTF">2014-11-13T16:45:00Z</dcterms:modified>
</cp:coreProperties>
</file>